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9"/>
        <w:tblW w:w="102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0267"/>
      </w:tblGrid>
      <w:tr w14:paraId="41E32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0267" w:type="dxa"/>
            <w:shd w:val="clear" w:color="auto" w:fill="1F4E79"/>
            <w:tcMar>
              <w:top w:w="80" w:type="dxa"/>
              <w:left w:w="200" w:type="dxa"/>
              <w:bottom w:w="80" w:type="dxa"/>
              <w:right w:w="200" w:type="dxa"/>
            </w:tcMar>
          </w:tcPr>
          <w:p w14:paraId="2F4C5A14">
            <w:pPr>
              <w:spacing w:before="100" w:after="20"/>
              <w:jc w:val="center"/>
            </w:pPr>
            <w:r>
              <w:rPr>
                <w:rFonts w:ascii="Arial" w:hAnsi="Arial" w:eastAsia="Arial" w:cs="Arial"/>
                <w:b/>
                <w:bCs/>
                <w:i w:val="0"/>
                <w:iCs w:val="0"/>
                <w:color w:val="FFFFFF"/>
                <w:sz w:val="32"/>
                <w:szCs w:val="32"/>
              </w:rPr>
              <w:t>THE LORD'S HUB CIC</w:t>
            </w:r>
          </w:p>
          <w:p w14:paraId="5AB35A5C">
            <w:pPr>
              <w:spacing w:before="20" w:after="20"/>
              <w:jc w:val="center"/>
            </w:pPr>
            <w:r>
              <w:rPr>
                <w:rFonts w:ascii="Arial" w:hAnsi="Arial" w:eastAsia="Arial" w:cs="Arial"/>
                <w:b/>
                <w:bCs/>
                <w:i w:val="0"/>
                <w:iCs w:val="0"/>
                <w:color w:val="FFFFFF"/>
                <w:sz w:val="26"/>
                <w:szCs w:val="26"/>
              </w:rPr>
              <w:t>SAFEGUARDING POLICY STATEMENT</w:t>
            </w:r>
          </w:p>
          <w:p w14:paraId="52394F4B">
            <w:pPr>
              <w:spacing w:before="20" w:after="100"/>
              <w:jc w:val="center"/>
            </w:pPr>
            <w:r>
              <w:rPr>
                <w:rFonts w:ascii="Arial" w:hAnsi="Arial" w:eastAsia="Arial" w:cs="Arial"/>
                <w:b w:val="0"/>
                <w:bCs w:val="0"/>
                <w:i w:val="0"/>
                <w:iCs w:val="0"/>
                <w:color w:val="DEEAF1"/>
                <w:sz w:val="18"/>
                <w:szCs w:val="18"/>
              </w:rPr>
              <w:t>Approved: 8 September 2026  |  Review: within 12 months  |  Company No. 16054485</w:t>
            </w:r>
          </w:p>
        </w:tc>
      </w:tr>
    </w:tbl>
    <w:p w14:paraId="63B01694">
      <w:pPr>
        <w:spacing w:before="120" w:after="0"/>
      </w:pPr>
    </w:p>
    <w:p w14:paraId="5F93F578">
      <w:pPr>
        <w:pBdr>
          <w:bottom w:val="single" w:color="2E7D55" w:sz="8" w:space="6"/>
        </w:pBdr>
        <w:spacing w:before="280" w:after="100"/>
      </w:pPr>
      <w:r>
        <w:rPr>
          <w:rFonts w:ascii="Arial" w:hAnsi="Arial" w:eastAsia="Arial" w:cs="Arial"/>
          <w:b/>
          <w:bCs/>
          <w:i w:val="0"/>
          <w:iCs w:val="0"/>
          <w:color w:val="2E7D55"/>
          <w:sz w:val="30"/>
          <w:szCs w:val="30"/>
        </w:rPr>
        <w:t>The purpose and scope of this policy statement</w:t>
      </w:r>
    </w:p>
    <w:p w14:paraId="1F47B803">
      <w:pPr>
        <w:spacing w:before="40" w:after="0"/>
      </w:pPr>
    </w:p>
    <w:p w14:paraId="56BD40CC">
      <w:pPr>
        <w:spacing w:before="50" w:after="50"/>
        <w:jc w:val="left"/>
      </w:pPr>
      <w:r>
        <w:rPr>
          <w:rFonts w:ascii="Arial" w:hAnsi="Arial" w:eastAsia="Arial" w:cs="Arial"/>
          <w:b w:val="0"/>
          <w:bCs w:val="0"/>
          <w:i w:val="0"/>
          <w:iCs w:val="0"/>
          <w:color w:val="1A1A1A"/>
          <w:sz w:val="21"/>
          <w:szCs w:val="21"/>
        </w:rPr>
        <w:t xml:space="preserve">The Lord's Hub CIC delivers creative, sporting, educational and family programmes for children, young people and families across Dartford and the surrounding area. Our programmes include Move Forward and Move FWD Minis, Zamara Voices, EmpowerED, GenNext, Meet Up Eat Up, Rhythm and Release, and Play by Ear </w:t>
      </w:r>
      <w:r>
        <w:rPr>
          <w:rFonts w:ascii="Arial" w:hAnsi="Arial" w:eastAsia="Arial" w:cs="Arial"/>
          <w:b w:val="0"/>
          <w:bCs w:val="0"/>
          <w:i w:val="0"/>
          <w:iCs w:val="0"/>
          <w:color w:val="1A1A1A"/>
          <w:sz w:val="21"/>
          <w:szCs w:val="21"/>
          <w:lang w:val="en-US"/>
        </w:rPr>
        <w:t>-</w:t>
      </w:r>
      <w:r>
        <w:rPr>
          <w:rFonts w:ascii="Arial" w:hAnsi="Arial" w:eastAsia="Arial" w:cs="Arial"/>
          <w:b w:val="0"/>
          <w:bCs w:val="0"/>
          <w:i w:val="0"/>
          <w:iCs w:val="0"/>
          <w:color w:val="1A1A1A"/>
          <w:sz w:val="21"/>
          <w:szCs w:val="21"/>
        </w:rPr>
        <w:t xml:space="preserve"> delivered in person and online, at our venues and off-site, in term-time and during school holidays.</w:t>
      </w:r>
    </w:p>
    <w:p w14:paraId="4338CC36">
      <w:pPr>
        <w:spacing w:before="40" w:after="0"/>
      </w:pPr>
    </w:p>
    <w:p w14:paraId="6FB8ECF3">
      <w:pPr>
        <w:spacing w:before="50" w:after="50"/>
        <w:jc w:val="left"/>
      </w:pPr>
      <w:r>
        <w:rPr>
          <w:rFonts w:ascii="Arial" w:hAnsi="Arial" w:eastAsia="Arial" w:cs="Arial"/>
          <w:b w:val="0"/>
          <w:bCs w:val="0"/>
          <w:i w:val="0"/>
          <w:iCs w:val="0"/>
          <w:color w:val="1A1A1A"/>
          <w:sz w:val="21"/>
          <w:szCs w:val="21"/>
        </w:rPr>
        <w:t>The purpose of this policy statement is:</w:t>
      </w:r>
    </w:p>
    <w:p w14:paraId="4C2EDC55">
      <w:pPr>
        <w:pStyle w:val="16"/>
        <w:numPr>
          <w:ilvl w:val="0"/>
          <w:numId w:val="1"/>
        </w:numPr>
        <w:spacing w:before="50" w:after="50"/>
      </w:pPr>
      <w:r>
        <w:rPr>
          <w:rFonts w:ascii="Arial" w:hAnsi="Arial" w:eastAsia="Arial" w:cs="Arial"/>
          <w:b w:val="0"/>
          <w:bCs w:val="0"/>
          <w:i w:val="0"/>
          <w:iCs w:val="0"/>
          <w:color w:val="1A1A1A"/>
          <w:sz w:val="21"/>
          <w:szCs w:val="21"/>
        </w:rPr>
        <w:t xml:space="preserve">to protect children, young people and adults at risk who engage with our programmes and services from harm </w:t>
      </w:r>
      <w:r>
        <w:rPr>
          <w:rFonts w:ascii="Arial" w:hAnsi="Arial" w:eastAsia="Arial" w:cs="Arial"/>
          <w:b w:val="0"/>
          <w:bCs w:val="0"/>
          <w:i w:val="0"/>
          <w:iCs w:val="0"/>
          <w:color w:val="1A1A1A"/>
          <w:sz w:val="21"/>
          <w:szCs w:val="21"/>
          <w:lang w:val="en-US"/>
        </w:rPr>
        <w:t>-</w:t>
      </w:r>
      <w:r>
        <w:rPr>
          <w:rFonts w:ascii="Arial" w:hAnsi="Arial" w:eastAsia="Arial" w:cs="Arial"/>
          <w:b w:val="0"/>
          <w:bCs w:val="0"/>
          <w:i w:val="0"/>
          <w:iCs w:val="0"/>
          <w:color w:val="1A1A1A"/>
          <w:sz w:val="21"/>
          <w:szCs w:val="21"/>
        </w:rPr>
        <w:t xml:space="preserve"> including the children of adults who use our services</w:t>
      </w:r>
    </w:p>
    <w:p w14:paraId="69A4FF14">
      <w:pPr>
        <w:pStyle w:val="16"/>
        <w:numPr>
          <w:ilvl w:val="0"/>
          <w:numId w:val="1"/>
        </w:numPr>
        <w:spacing w:before="50" w:after="50"/>
      </w:pPr>
      <w:r>
        <w:rPr>
          <w:rFonts w:ascii="Arial" w:hAnsi="Arial" w:eastAsia="Arial" w:cs="Arial"/>
          <w:b w:val="0"/>
          <w:bCs w:val="0"/>
          <w:i w:val="0"/>
          <w:iCs w:val="0"/>
          <w:color w:val="1A1A1A"/>
          <w:sz w:val="21"/>
          <w:szCs w:val="21"/>
        </w:rPr>
        <w:t>to provide staff, volunteers, children, young people and their families with the overarching principles that guide our approach to safeguarding and child protection</w:t>
      </w:r>
    </w:p>
    <w:p w14:paraId="64077AC8">
      <w:pPr>
        <w:spacing w:before="40" w:after="0"/>
      </w:pPr>
    </w:p>
    <w:p w14:paraId="39C441B8">
      <w:pPr>
        <w:spacing w:before="50" w:after="50"/>
        <w:jc w:val="left"/>
      </w:pPr>
      <w:r>
        <w:rPr>
          <w:rFonts w:ascii="Arial" w:hAnsi="Arial" w:eastAsia="Arial" w:cs="Arial"/>
          <w:b w:val="0"/>
          <w:bCs w:val="0"/>
          <w:i w:val="0"/>
          <w:iCs w:val="0"/>
          <w:color w:val="1A1A1A"/>
          <w:sz w:val="21"/>
          <w:szCs w:val="21"/>
        </w:rPr>
        <w:t>This policy statement applies to everyone working on behalf of The Lord's Hub CIC, including the Board of Directors, paid staff, volunteers, sessional workers, interns and contractors.</w:t>
      </w:r>
    </w:p>
    <w:p w14:paraId="4182BB53">
      <w:pPr>
        <w:spacing w:before="80" w:after="0"/>
      </w:pPr>
    </w:p>
    <w:p w14:paraId="65CDDC03">
      <w:pPr>
        <w:pBdr>
          <w:bottom w:val="single" w:color="2E7D55" w:sz="8" w:space="6"/>
        </w:pBdr>
        <w:spacing w:before="280" w:after="100"/>
      </w:pPr>
      <w:r>
        <w:rPr>
          <w:rFonts w:ascii="Arial" w:hAnsi="Arial" w:eastAsia="Arial" w:cs="Arial"/>
          <w:b/>
          <w:bCs/>
          <w:i w:val="0"/>
          <w:iCs w:val="0"/>
          <w:color w:val="2E7D55"/>
          <w:sz w:val="30"/>
          <w:szCs w:val="30"/>
        </w:rPr>
        <w:t>Legal framework</w:t>
      </w:r>
    </w:p>
    <w:p w14:paraId="3747EDB8">
      <w:pPr>
        <w:spacing w:before="40" w:after="0"/>
      </w:pPr>
    </w:p>
    <w:p w14:paraId="77117440">
      <w:pPr>
        <w:spacing w:before="50" w:after="50"/>
        <w:jc w:val="left"/>
      </w:pPr>
      <w:r>
        <w:rPr>
          <w:rFonts w:ascii="Arial" w:hAnsi="Arial" w:eastAsia="Arial" w:cs="Arial"/>
          <w:b w:val="0"/>
          <w:bCs w:val="0"/>
          <w:i w:val="0"/>
          <w:iCs w:val="0"/>
          <w:color w:val="1A1A1A"/>
          <w:sz w:val="21"/>
          <w:szCs w:val="21"/>
        </w:rPr>
        <w:t>This policy statement, and the full Safeguarding and Child Protection Policy that sits behind it, have been drawn up with regard to current legislation and statutory guidance, including:</w:t>
      </w:r>
    </w:p>
    <w:p w14:paraId="329A2649">
      <w:pPr>
        <w:pStyle w:val="16"/>
        <w:numPr>
          <w:ilvl w:val="0"/>
          <w:numId w:val="1"/>
        </w:numPr>
        <w:spacing w:before="50" w:after="50"/>
      </w:pPr>
      <w:r>
        <w:rPr>
          <w:rFonts w:ascii="Arial" w:hAnsi="Arial" w:eastAsia="Arial" w:cs="Arial"/>
          <w:b w:val="0"/>
          <w:bCs w:val="0"/>
          <w:i w:val="0"/>
          <w:iCs w:val="0"/>
          <w:color w:val="1A1A1A"/>
          <w:sz w:val="21"/>
          <w:szCs w:val="21"/>
        </w:rPr>
        <w:t>Working Together to Safeguard Children 2026</w:t>
      </w:r>
    </w:p>
    <w:p w14:paraId="64603A01">
      <w:pPr>
        <w:pStyle w:val="16"/>
        <w:numPr>
          <w:ilvl w:val="0"/>
          <w:numId w:val="1"/>
        </w:numPr>
        <w:spacing w:before="50" w:after="50"/>
      </w:pPr>
      <w:r>
        <w:rPr>
          <w:rFonts w:ascii="Arial" w:hAnsi="Arial" w:eastAsia="Arial" w:cs="Arial"/>
          <w:b w:val="0"/>
          <w:bCs w:val="0"/>
          <w:i w:val="0"/>
          <w:iCs w:val="0"/>
          <w:color w:val="1A1A1A"/>
          <w:sz w:val="21"/>
          <w:szCs w:val="21"/>
        </w:rPr>
        <w:t>Keeping Children Safe in Education 2026</w:t>
      </w:r>
    </w:p>
    <w:p w14:paraId="21C85D24">
      <w:pPr>
        <w:pStyle w:val="16"/>
        <w:numPr>
          <w:ilvl w:val="0"/>
          <w:numId w:val="1"/>
        </w:numPr>
        <w:spacing w:before="50" w:after="50"/>
      </w:pPr>
      <w:r>
        <w:rPr>
          <w:rFonts w:ascii="Arial" w:hAnsi="Arial" w:eastAsia="Arial" w:cs="Arial"/>
          <w:b w:val="0"/>
          <w:bCs w:val="0"/>
          <w:i w:val="0"/>
          <w:iCs w:val="0"/>
          <w:color w:val="1A1A1A"/>
          <w:sz w:val="21"/>
          <w:szCs w:val="21"/>
        </w:rPr>
        <w:t>Children Act 1989 and 2004, Children and Social Work Act 2017</w:t>
      </w:r>
    </w:p>
    <w:p w14:paraId="3CCC87A3">
      <w:pPr>
        <w:pStyle w:val="16"/>
        <w:numPr>
          <w:ilvl w:val="0"/>
          <w:numId w:val="1"/>
        </w:numPr>
        <w:spacing w:before="50" w:after="50"/>
      </w:pPr>
      <w:r>
        <w:rPr>
          <w:rFonts w:ascii="Arial" w:hAnsi="Arial" w:eastAsia="Arial" w:cs="Arial"/>
          <w:b w:val="0"/>
          <w:bCs w:val="0"/>
          <w:i w:val="0"/>
          <w:iCs w:val="0"/>
          <w:color w:val="1A1A1A"/>
          <w:sz w:val="21"/>
          <w:szCs w:val="21"/>
        </w:rPr>
        <w:t>Care Act 2014 and Mental Capacity Act 2005</w:t>
      </w:r>
    </w:p>
    <w:p w14:paraId="71650BF1">
      <w:pPr>
        <w:pStyle w:val="16"/>
        <w:numPr>
          <w:ilvl w:val="0"/>
          <w:numId w:val="1"/>
        </w:numPr>
        <w:spacing w:before="50" w:after="50"/>
      </w:pPr>
      <w:r>
        <w:rPr>
          <w:rFonts w:ascii="Arial" w:hAnsi="Arial" w:eastAsia="Arial" w:cs="Arial"/>
          <w:b w:val="0"/>
          <w:bCs w:val="0"/>
          <w:i w:val="0"/>
          <w:iCs w:val="0"/>
          <w:color w:val="1A1A1A"/>
          <w:sz w:val="21"/>
          <w:szCs w:val="21"/>
        </w:rPr>
        <w:t>Domestic Abuse Act 2021, Serious Crime Act 2015, Counter-Terrorism and Security Act 2015</w:t>
      </w:r>
    </w:p>
    <w:p w14:paraId="17EAFC1A">
      <w:pPr>
        <w:pStyle w:val="16"/>
        <w:numPr>
          <w:ilvl w:val="0"/>
          <w:numId w:val="1"/>
        </w:numPr>
        <w:spacing w:before="50" w:after="50"/>
      </w:pPr>
      <w:r>
        <w:rPr>
          <w:rFonts w:ascii="Arial" w:hAnsi="Arial" w:eastAsia="Arial" w:cs="Arial"/>
          <w:b w:val="0"/>
          <w:bCs w:val="0"/>
          <w:i w:val="0"/>
          <w:iCs w:val="0"/>
          <w:color w:val="1A1A1A"/>
          <w:sz w:val="21"/>
          <w:szCs w:val="21"/>
        </w:rPr>
        <w:t>Data Protection Act 2018, UK GDPR and Equality Act 2010</w:t>
      </w:r>
    </w:p>
    <w:p w14:paraId="459B5D0B">
      <w:pPr>
        <w:pStyle w:val="16"/>
        <w:numPr>
          <w:ilvl w:val="0"/>
          <w:numId w:val="1"/>
        </w:numPr>
        <w:spacing w:before="50" w:after="50"/>
      </w:pPr>
      <w:r>
        <w:rPr>
          <w:rFonts w:ascii="Arial" w:hAnsi="Arial" w:eastAsia="Arial" w:cs="Arial"/>
          <w:b w:val="0"/>
          <w:bCs w:val="0"/>
          <w:i w:val="0"/>
          <w:iCs w:val="0"/>
          <w:color w:val="1A1A1A"/>
          <w:sz w:val="21"/>
          <w:szCs w:val="21"/>
        </w:rPr>
        <w:t>Kent Safeguarding Children Multi-Agency Partnership procedures</w:t>
      </w:r>
    </w:p>
    <w:p w14:paraId="66E201DF">
      <w:pPr>
        <w:spacing w:before="40" w:after="0"/>
      </w:pPr>
    </w:p>
    <w:p w14:paraId="5040CBBD">
      <w:pPr>
        <w:spacing w:before="50" w:after="50"/>
        <w:jc w:val="left"/>
      </w:pPr>
      <w:r>
        <w:rPr>
          <w:rFonts w:ascii="Arial" w:hAnsi="Arial" w:eastAsia="Arial" w:cs="Arial"/>
          <w:b w:val="0"/>
          <w:bCs w:val="0"/>
          <w:i w:val="0"/>
          <w:iCs w:val="0"/>
          <w:color w:val="1A1A1A"/>
          <w:sz w:val="21"/>
          <w:szCs w:val="21"/>
        </w:rPr>
        <w:t>We apply replacement or amended statutory guidance from its effective date and will not wait for our annual review where an earlier update is required.</w:t>
      </w:r>
    </w:p>
    <w:p w14:paraId="3545634C">
      <w:pPr>
        <w:spacing w:before="80" w:after="0"/>
      </w:pPr>
    </w:p>
    <w:p w14:paraId="2E15D58B">
      <w:pPr>
        <w:pBdr>
          <w:bottom w:val="single" w:color="2E7D55" w:sz="8" w:space="6"/>
        </w:pBdr>
        <w:spacing w:before="280" w:after="100"/>
      </w:pPr>
      <w:r>
        <w:rPr>
          <w:rFonts w:ascii="Arial" w:hAnsi="Arial" w:eastAsia="Arial" w:cs="Arial"/>
          <w:b/>
          <w:bCs/>
          <w:i w:val="0"/>
          <w:iCs w:val="0"/>
          <w:color w:val="2E7D55"/>
          <w:sz w:val="30"/>
          <w:szCs w:val="30"/>
        </w:rPr>
        <w:t>Supporting documents</w:t>
      </w:r>
    </w:p>
    <w:p w14:paraId="4D44EAB2">
      <w:pPr>
        <w:spacing w:before="40" w:after="0"/>
      </w:pPr>
    </w:p>
    <w:p w14:paraId="55AD300E">
      <w:pPr>
        <w:spacing w:before="50" w:after="50"/>
        <w:jc w:val="left"/>
      </w:pPr>
      <w:r>
        <w:rPr>
          <w:rFonts w:ascii="Arial" w:hAnsi="Arial" w:eastAsia="Arial" w:cs="Arial"/>
          <w:b w:val="0"/>
          <w:bCs w:val="0"/>
          <w:i w:val="0"/>
          <w:iCs w:val="0"/>
          <w:color w:val="1A1A1A"/>
          <w:sz w:val="21"/>
          <w:szCs w:val="21"/>
        </w:rPr>
        <w:t>This policy statement should be read alongside our full Safeguarding and Child Protection Policy (September 2026) and its appendices, including:</w:t>
      </w:r>
    </w:p>
    <w:p w14:paraId="735C4EF3">
      <w:pPr>
        <w:pStyle w:val="16"/>
        <w:numPr>
          <w:ilvl w:val="0"/>
          <w:numId w:val="1"/>
        </w:numPr>
        <w:spacing w:before="50" w:after="50"/>
      </w:pPr>
      <w:r>
        <w:rPr>
          <w:rFonts w:ascii="Arial" w:hAnsi="Arial" w:eastAsia="Arial" w:cs="Arial"/>
          <w:b w:val="0"/>
          <w:bCs w:val="0"/>
          <w:i w:val="0"/>
          <w:iCs w:val="0"/>
          <w:color w:val="1A1A1A"/>
          <w:sz w:val="21"/>
          <w:szCs w:val="21"/>
        </w:rPr>
        <w:t>Role descriptions for our Designated Safeguarding Leads (Policy Section 4)</w:t>
      </w:r>
    </w:p>
    <w:p w14:paraId="253B923A">
      <w:pPr>
        <w:pStyle w:val="16"/>
        <w:numPr>
          <w:ilvl w:val="0"/>
          <w:numId w:val="1"/>
        </w:numPr>
        <w:spacing w:before="50" w:after="50"/>
      </w:pPr>
      <w:r>
        <w:rPr>
          <w:rFonts w:ascii="Arial" w:hAnsi="Arial" w:eastAsia="Arial" w:cs="Arial"/>
          <w:b w:val="0"/>
          <w:bCs w:val="0"/>
          <w:i w:val="0"/>
          <w:iCs w:val="0"/>
          <w:color w:val="1A1A1A"/>
          <w:sz w:val="21"/>
          <w:szCs w:val="21"/>
        </w:rPr>
        <w:t>Dealing with disclosures and concerns about a child or young person (Policy Section 6)</w:t>
      </w:r>
    </w:p>
    <w:p w14:paraId="2345EB02">
      <w:pPr>
        <w:pStyle w:val="16"/>
        <w:numPr>
          <w:ilvl w:val="0"/>
          <w:numId w:val="1"/>
        </w:numPr>
        <w:spacing w:before="50" w:after="50"/>
      </w:pPr>
      <w:r>
        <w:rPr>
          <w:rFonts w:ascii="Arial" w:hAnsi="Arial" w:eastAsia="Arial" w:cs="Arial"/>
          <w:b w:val="0"/>
          <w:bCs w:val="0"/>
          <w:i w:val="0"/>
          <w:iCs w:val="0"/>
          <w:color w:val="1A1A1A"/>
          <w:sz w:val="21"/>
          <w:szCs w:val="21"/>
        </w:rPr>
        <w:t>Managing allegations against staff and volunteers (Policy Section 10B)</w:t>
      </w:r>
    </w:p>
    <w:p w14:paraId="7EFFEA03">
      <w:pPr>
        <w:pStyle w:val="16"/>
        <w:numPr>
          <w:ilvl w:val="0"/>
          <w:numId w:val="1"/>
        </w:numPr>
        <w:spacing w:before="50" w:after="50"/>
      </w:pPr>
      <w:r>
        <w:rPr>
          <w:rFonts w:ascii="Arial" w:hAnsi="Arial" w:eastAsia="Arial" w:cs="Arial"/>
          <w:b w:val="0"/>
          <w:bCs w:val="0"/>
          <w:i w:val="0"/>
          <w:iCs w:val="0"/>
          <w:color w:val="1A1A1A"/>
          <w:sz w:val="21"/>
          <w:szCs w:val="21"/>
        </w:rPr>
        <w:t>Recording concerns, information sharing and Subject Access Requests (Policy Sections 17 and 17F)</w:t>
      </w:r>
    </w:p>
    <w:p w14:paraId="292EB554">
      <w:pPr>
        <w:pStyle w:val="16"/>
        <w:numPr>
          <w:ilvl w:val="0"/>
          <w:numId w:val="1"/>
        </w:numPr>
        <w:spacing w:before="50" w:after="50"/>
      </w:pPr>
      <w:r>
        <w:rPr>
          <w:rFonts w:ascii="Arial" w:hAnsi="Arial" w:eastAsia="Arial" w:cs="Arial"/>
          <w:b w:val="0"/>
          <w:bCs w:val="0"/>
          <w:i w:val="0"/>
          <w:iCs w:val="0"/>
          <w:color w:val="1A1A1A"/>
          <w:sz w:val="21"/>
          <w:szCs w:val="21"/>
        </w:rPr>
        <w:t>Child protection records retention and storage (Policy Section 17C)</w:t>
      </w:r>
    </w:p>
    <w:p w14:paraId="0A32F689">
      <w:pPr>
        <w:pStyle w:val="16"/>
        <w:numPr>
          <w:ilvl w:val="0"/>
          <w:numId w:val="1"/>
        </w:numPr>
        <w:spacing w:before="50" w:after="50"/>
      </w:pPr>
      <w:r>
        <w:rPr>
          <w:rFonts w:ascii="Arial" w:hAnsi="Arial" w:eastAsia="Arial" w:cs="Arial"/>
          <w:b w:val="0"/>
          <w:bCs w:val="0"/>
          <w:i w:val="0"/>
          <w:iCs w:val="0"/>
          <w:color w:val="1A1A1A"/>
          <w:sz w:val="21"/>
          <w:szCs w:val="21"/>
        </w:rPr>
        <w:t>Code of Conduct for staff and volunteers (Appendix G)</w:t>
      </w:r>
    </w:p>
    <w:p w14:paraId="26CF663C">
      <w:pPr>
        <w:pStyle w:val="16"/>
        <w:numPr>
          <w:ilvl w:val="0"/>
          <w:numId w:val="1"/>
        </w:numPr>
        <w:spacing w:before="50" w:after="50"/>
      </w:pPr>
      <w:r>
        <w:rPr>
          <w:rFonts w:ascii="Arial" w:hAnsi="Arial" w:eastAsia="Arial" w:cs="Arial"/>
          <w:b w:val="0"/>
          <w:bCs w:val="0"/>
          <w:i w:val="0"/>
          <w:iCs w:val="0"/>
          <w:color w:val="1A1A1A"/>
          <w:sz w:val="21"/>
          <w:szCs w:val="21"/>
        </w:rPr>
        <w:t>Behaviour codes for children and young people, and for parents and carers (Appendices H and I)</w:t>
      </w:r>
    </w:p>
    <w:p w14:paraId="3ABB6E8B">
      <w:pPr>
        <w:pStyle w:val="16"/>
        <w:numPr>
          <w:ilvl w:val="0"/>
          <w:numId w:val="1"/>
        </w:numPr>
        <w:spacing w:before="50" w:after="50"/>
      </w:pPr>
      <w:r>
        <w:rPr>
          <w:rFonts w:ascii="Arial" w:hAnsi="Arial" w:eastAsia="Arial" w:cs="Arial"/>
          <w:b w:val="0"/>
          <w:bCs w:val="0"/>
          <w:i w:val="0"/>
          <w:iCs w:val="0"/>
          <w:color w:val="1A1A1A"/>
          <w:sz w:val="21"/>
          <w:szCs w:val="21"/>
        </w:rPr>
        <w:t>Photography and sharing images guidance (Policy Section 9B)</w:t>
      </w:r>
    </w:p>
    <w:p w14:paraId="37EBDA41">
      <w:pPr>
        <w:pStyle w:val="16"/>
        <w:numPr>
          <w:ilvl w:val="0"/>
          <w:numId w:val="1"/>
        </w:numPr>
        <w:spacing w:before="50" w:after="50"/>
      </w:pPr>
      <w:r>
        <w:rPr>
          <w:rFonts w:ascii="Arial" w:hAnsi="Arial" w:eastAsia="Arial" w:cs="Arial"/>
          <w:b w:val="0"/>
          <w:bCs w:val="0"/>
          <w:i w:val="0"/>
          <w:iCs w:val="0"/>
          <w:color w:val="1A1A1A"/>
          <w:sz w:val="21"/>
          <w:szCs w:val="21"/>
        </w:rPr>
        <w:t>Safer recruitment (Policy Section 7)</w:t>
      </w:r>
    </w:p>
    <w:p w14:paraId="3C89B2D7">
      <w:pPr>
        <w:pStyle w:val="16"/>
        <w:numPr>
          <w:ilvl w:val="0"/>
          <w:numId w:val="1"/>
        </w:numPr>
        <w:spacing w:before="50" w:after="50"/>
      </w:pPr>
      <w:r>
        <w:rPr>
          <w:rFonts w:ascii="Arial" w:hAnsi="Arial" w:eastAsia="Arial" w:cs="Arial"/>
          <w:b w:val="0"/>
          <w:bCs w:val="0"/>
          <w:i w:val="0"/>
          <w:iCs w:val="0"/>
          <w:color w:val="1A1A1A"/>
          <w:sz w:val="21"/>
          <w:szCs w:val="21"/>
        </w:rPr>
        <w:t>Online safety (Policy Section 9)</w:t>
      </w:r>
    </w:p>
    <w:p w14:paraId="19854BE1">
      <w:pPr>
        <w:pStyle w:val="16"/>
        <w:numPr>
          <w:ilvl w:val="0"/>
          <w:numId w:val="1"/>
        </w:numPr>
        <w:spacing w:before="50" w:after="50"/>
      </w:pPr>
      <w:r>
        <w:rPr>
          <w:rFonts w:ascii="Arial" w:hAnsi="Arial" w:eastAsia="Arial" w:cs="Arial"/>
          <w:b w:val="0"/>
          <w:bCs w:val="0"/>
          <w:i w:val="0"/>
          <w:iCs w:val="0"/>
          <w:color w:val="1A1A1A"/>
          <w:sz w:val="21"/>
          <w:szCs w:val="21"/>
        </w:rPr>
        <w:t>Preventing and responding to child-on-child abuse, including bullying (Policy Section 8A)</w:t>
      </w:r>
    </w:p>
    <w:p w14:paraId="23AC4D70">
      <w:pPr>
        <w:pStyle w:val="16"/>
        <w:numPr>
          <w:ilvl w:val="0"/>
          <w:numId w:val="1"/>
        </w:numPr>
        <w:spacing w:before="50" w:after="50"/>
      </w:pPr>
      <w:r>
        <w:rPr>
          <w:rFonts w:ascii="Arial" w:hAnsi="Arial" w:eastAsia="Arial" w:cs="Arial"/>
          <w:b w:val="0"/>
          <w:bCs w:val="0"/>
          <w:i w:val="0"/>
          <w:iCs w:val="0"/>
          <w:color w:val="1A1A1A"/>
          <w:sz w:val="21"/>
          <w:szCs w:val="21"/>
        </w:rPr>
        <w:t>Managing complaints (Policy Section 10C)</w:t>
      </w:r>
    </w:p>
    <w:p w14:paraId="429C105D">
      <w:pPr>
        <w:pStyle w:val="16"/>
        <w:numPr>
          <w:ilvl w:val="0"/>
          <w:numId w:val="1"/>
        </w:numPr>
        <w:spacing w:before="50" w:after="50"/>
      </w:pPr>
      <w:r>
        <w:rPr>
          <w:rFonts w:ascii="Arial" w:hAnsi="Arial" w:eastAsia="Arial" w:cs="Arial"/>
          <w:b w:val="0"/>
          <w:bCs w:val="0"/>
          <w:i w:val="0"/>
          <w:iCs w:val="0"/>
          <w:color w:val="1A1A1A"/>
          <w:sz w:val="21"/>
          <w:szCs w:val="21"/>
        </w:rPr>
        <w:t>Whistleblowing Procedure (Appendix N)</w:t>
      </w:r>
    </w:p>
    <w:p w14:paraId="48B40E85">
      <w:pPr>
        <w:pStyle w:val="16"/>
        <w:numPr>
          <w:ilvl w:val="0"/>
          <w:numId w:val="1"/>
        </w:numPr>
        <w:spacing w:before="50" w:after="50"/>
      </w:pPr>
      <w:r>
        <w:rPr>
          <w:rFonts w:ascii="Arial" w:hAnsi="Arial" w:eastAsia="Arial" w:cs="Arial"/>
          <w:b w:val="0"/>
          <w:bCs w:val="0"/>
          <w:i w:val="0"/>
          <w:iCs w:val="0"/>
          <w:color w:val="1A1A1A"/>
          <w:sz w:val="21"/>
          <w:szCs w:val="21"/>
        </w:rPr>
        <w:t>Health and safety (Health and Safety Policy)</w:t>
      </w:r>
    </w:p>
    <w:p w14:paraId="7125DC7C">
      <w:pPr>
        <w:pStyle w:val="16"/>
        <w:numPr>
          <w:ilvl w:val="0"/>
          <w:numId w:val="1"/>
        </w:numPr>
        <w:spacing w:before="50" w:after="50"/>
      </w:pPr>
      <w:r>
        <w:rPr>
          <w:rFonts w:ascii="Arial" w:hAnsi="Arial" w:eastAsia="Arial" w:cs="Arial"/>
          <w:b w:val="0"/>
          <w:bCs w:val="0"/>
          <w:i w:val="0"/>
          <w:iCs w:val="0"/>
          <w:color w:val="1A1A1A"/>
          <w:sz w:val="21"/>
          <w:szCs w:val="21"/>
        </w:rPr>
        <w:t>Induction, training and supervision (Policy Section 11)</w:t>
      </w:r>
    </w:p>
    <w:p w14:paraId="600DCF57">
      <w:pPr>
        <w:pStyle w:val="16"/>
        <w:numPr>
          <w:ilvl w:val="0"/>
          <w:numId w:val="1"/>
        </w:numPr>
        <w:spacing w:before="50" w:after="50"/>
      </w:pPr>
      <w:r>
        <w:rPr>
          <w:rFonts w:ascii="Arial" w:hAnsi="Arial" w:eastAsia="Arial" w:cs="Arial"/>
          <w:b w:val="0"/>
          <w:bCs w:val="0"/>
          <w:i w:val="0"/>
          <w:iCs w:val="0"/>
          <w:color w:val="1A1A1A"/>
          <w:sz w:val="21"/>
          <w:szCs w:val="21"/>
        </w:rPr>
        <w:t>Adult-to-child supervision ratios (Policy Sections 13B and 13C)</w:t>
      </w:r>
    </w:p>
    <w:p w14:paraId="1FE5B015">
      <w:pPr>
        <w:spacing w:before="80" w:after="0"/>
      </w:pPr>
    </w:p>
    <w:p w14:paraId="44EDEC4E">
      <w:pPr>
        <w:pBdr>
          <w:bottom w:val="single" w:color="2E7D55" w:sz="8" w:space="6"/>
        </w:pBdr>
        <w:spacing w:before="280" w:after="100"/>
      </w:pPr>
      <w:r>
        <w:rPr>
          <w:rFonts w:ascii="Arial" w:hAnsi="Arial" w:eastAsia="Arial" w:cs="Arial"/>
          <w:b/>
          <w:bCs/>
          <w:i w:val="0"/>
          <w:iCs w:val="0"/>
          <w:color w:val="2E7D55"/>
          <w:sz w:val="30"/>
          <w:szCs w:val="30"/>
        </w:rPr>
        <w:t>We believe that</w:t>
      </w:r>
    </w:p>
    <w:p w14:paraId="694173DB">
      <w:pPr>
        <w:spacing w:before="40" w:after="0"/>
      </w:pPr>
    </w:p>
    <w:p w14:paraId="40C692C0">
      <w:pPr>
        <w:pStyle w:val="16"/>
        <w:numPr>
          <w:ilvl w:val="0"/>
          <w:numId w:val="1"/>
        </w:numPr>
        <w:spacing w:before="50" w:after="50"/>
      </w:pPr>
      <w:r>
        <w:rPr>
          <w:rFonts w:ascii="Arial" w:hAnsi="Arial" w:eastAsia="Arial" w:cs="Arial"/>
          <w:b w:val="0"/>
          <w:bCs w:val="0"/>
          <w:i w:val="0"/>
          <w:iCs w:val="0"/>
          <w:color w:val="1A1A1A"/>
          <w:sz w:val="21"/>
          <w:szCs w:val="21"/>
        </w:rPr>
        <w:t>Children and young people should never experience abuse of any kind.</w:t>
      </w:r>
    </w:p>
    <w:p w14:paraId="63B46398">
      <w:pPr>
        <w:pStyle w:val="16"/>
        <w:numPr>
          <w:ilvl w:val="0"/>
          <w:numId w:val="1"/>
        </w:numPr>
        <w:spacing w:before="50" w:after="50"/>
      </w:pPr>
      <w:r>
        <w:rPr>
          <w:rFonts w:ascii="Arial" w:hAnsi="Arial" w:eastAsia="Arial" w:cs="Arial"/>
          <w:b w:val="0"/>
          <w:bCs w:val="0"/>
          <w:i w:val="0"/>
          <w:iCs w:val="0"/>
          <w:color w:val="1A1A1A"/>
          <w:sz w:val="21"/>
          <w:szCs w:val="21"/>
        </w:rPr>
        <w:t>We have a responsibility to promote the welfare of all children and young people, to keep them safe and to practise in a way that protects them.</w:t>
      </w:r>
    </w:p>
    <w:p w14:paraId="4B6A8905">
      <w:pPr>
        <w:spacing w:before="80" w:after="0"/>
      </w:pPr>
    </w:p>
    <w:p w14:paraId="61CC93EF">
      <w:pPr>
        <w:pBdr>
          <w:bottom w:val="single" w:color="2E7D55" w:sz="8" w:space="6"/>
        </w:pBdr>
        <w:spacing w:before="280" w:after="100"/>
      </w:pPr>
      <w:r>
        <w:rPr>
          <w:rFonts w:ascii="Arial" w:hAnsi="Arial" w:eastAsia="Arial" w:cs="Arial"/>
          <w:b/>
          <w:bCs/>
          <w:i w:val="0"/>
          <w:iCs w:val="0"/>
          <w:color w:val="2E7D55"/>
          <w:sz w:val="30"/>
          <w:szCs w:val="30"/>
        </w:rPr>
        <w:t>We recognise that</w:t>
      </w:r>
    </w:p>
    <w:p w14:paraId="1FA7EE5A">
      <w:pPr>
        <w:spacing w:before="40" w:after="0"/>
      </w:pPr>
    </w:p>
    <w:p w14:paraId="0F24D1C6">
      <w:pPr>
        <w:pStyle w:val="16"/>
        <w:numPr>
          <w:ilvl w:val="0"/>
          <w:numId w:val="1"/>
        </w:numPr>
        <w:spacing w:before="50" w:after="50"/>
      </w:pPr>
      <w:r>
        <w:rPr>
          <w:rFonts w:ascii="Arial" w:hAnsi="Arial" w:eastAsia="Arial" w:cs="Arial"/>
          <w:b w:val="0"/>
          <w:bCs w:val="0"/>
          <w:i w:val="0"/>
          <w:iCs w:val="0"/>
          <w:color w:val="1A1A1A"/>
          <w:sz w:val="21"/>
          <w:szCs w:val="21"/>
        </w:rPr>
        <w:t>The welfare of children is paramount in all the work we do and in all the decisions we take.</w:t>
      </w:r>
    </w:p>
    <w:p w14:paraId="18F0524E">
      <w:pPr>
        <w:pStyle w:val="16"/>
        <w:numPr>
          <w:ilvl w:val="0"/>
          <w:numId w:val="1"/>
        </w:numPr>
        <w:spacing w:before="50" w:after="50"/>
      </w:pPr>
      <w:r>
        <w:rPr>
          <w:rFonts w:ascii="Arial" w:hAnsi="Arial" w:eastAsia="Arial" w:cs="Arial"/>
          <w:b w:val="0"/>
          <w:bCs w:val="0"/>
          <w:i w:val="0"/>
          <w:iCs w:val="0"/>
          <w:color w:val="1A1A1A"/>
          <w:sz w:val="21"/>
          <w:szCs w:val="21"/>
        </w:rPr>
        <w:t>Working in partnership with children, young people, their parents, carers and other agencies is essential in promoting young people's welfare.</w:t>
      </w:r>
    </w:p>
    <w:p w14:paraId="1B874403">
      <w:pPr>
        <w:pStyle w:val="16"/>
        <w:numPr>
          <w:ilvl w:val="0"/>
          <w:numId w:val="1"/>
        </w:numPr>
        <w:spacing w:before="50" w:after="50"/>
      </w:pPr>
      <w:r>
        <w:rPr>
          <w:rFonts w:ascii="Arial" w:hAnsi="Arial" w:eastAsia="Arial" w:cs="Arial"/>
          <w:b w:val="0"/>
          <w:bCs w:val="0"/>
          <w:i w:val="0"/>
          <w:iCs w:val="0"/>
          <w:color w:val="1A1A1A"/>
          <w:sz w:val="21"/>
          <w:szCs w:val="21"/>
        </w:rPr>
        <w:t>All children, regardless of age, disability, race, religion or belief, sex, gender identity or sexual orientation, have an equal right to protection from all types of harm or abuse.</w:t>
      </w:r>
    </w:p>
    <w:p w14:paraId="37372486">
      <w:pPr>
        <w:pStyle w:val="16"/>
        <w:numPr>
          <w:ilvl w:val="0"/>
          <w:numId w:val="1"/>
        </w:numPr>
        <w:spacing w:before="50" w:after="50"/>
      </w:pPr>
      <w:r>
        <w:rPr>
          <w:rFonts w:ascii="Arial" w:hAnsi="Arial" w:eastAsia="Arial" w:cs="Arial"/>
          <w:b w:val="0"/>
          <w:bCs w:val="0"/>
          <w:i w:val="0"/>
          <w:iCs w:val="0"/>
          <w:color w:val="1A1A1A"/>
          <w:sz w:val="21"/>
          <w:szCs w:val="21"/>
        </w:rPr>
        <w:t>Some children are additionally vulnerable because of SEND and neurodivergence, care experience, being a young carer, domestic abuse, parental substance misuse or parental mental ill health, poverty, missing education, or racial and cultural barriers to being believed, and that extra safeguards may be needed to keep them safe.</w:t>
      </w:r>
    </w:p>
    <w:p w14:paraId="63DBCB2F">
      <w:pPr>
        <w:pStyle w:val="16"/>
        <w:numPr>
          <w:ilvl w:val="0"/>
          <w:numId w:val="1"/>
        </w:numPr>
        <w:spacing w:before="50" w:after="50"/>
      </w:pPr>
      <w:r>
        <w:rPr>
          <w:rFonts w:ascii="Arial" w:hAnsi="Arial" w:eastAsia="Arial" w:cs="Arial"/>
          <w:b w:val="0"/>
          <w:bCs w:val="0"/>
          <w:i w:val="0"/>
          <w:iCs w:val="0"/>
          <w:color w:val="1A1A1A"/>
          <w:sz w:val="21"/>
          <w:szCs w:val="21"/>
        </w:rPr>
        <w:t>LGBTQ+ young people may face additional risks including rejection, abuse or exploitation, and must receive affirming, non-judgmental support.</w:t>
      </w:r>
    </w:p>
    <w:p w14:paraId="67807176">
      <w:pPr>
        <w:pStyle w:val="16"/>
        <w:numPr>
          <w:ilvl w:val="0"/>
          <w:numId w:val="1"/>
        </w:numPr>
        <w:spacing w:before="50" w:after="50"/>
      </w:pPr>
      <w:r>
        <w:rPr>
          <w:rFonts w:ascii="Arial" w:hAnsi="Arial" w:eastAsia="Arial" w:cs="Arial"/>
          <w:b w:val="0"/>
          <w:bCs w:val="0"/>
          <w:i w:val="0"/>
          <w:iCs w:val="0"/>
          <w:color w:val="1A1A1A"/>
          <w:sz w:val="21"/>
          <w:szCs w:val="21"/>
        </w:rPr>
        <w:t>Disproportionality in child protection is well evidenced. Staff must guard against unconscious bias and must never discount a concern on cultural grounds.</w:t>
      </w:r>
    </w:p>
    <w:p w14:paraId="161F1BBC">
      <w:pPr>
        <w:spacing w:before="80" w:after="0"/>
      </w:pPr>
    </w:p>
    <w:p w14:paraId="44A8EAF4">
      <w:pPr>
        <w:pBdr>
          <w:bottom w:val="single" w:color="2E7D55" w:sz="8" w:space="6"/>
        </w:pBdr>
        <w:spacing w:before="280" w:after="100"/>
      </w:pPr>
      <w:r>
        <w:rPr>
          <w:rFonts w:ascii="Arial" w:hAnsi="Arial" w:eastAsia="Arial" w:cs="Arial"/>
          <w:b/>
          <w:bCs/>
          <w:i w:val="0"/>
          <w:iCs w:val="0"/>
          <w:color w:val="2E7D55"/>
          <w:sz w:val="30"/>
          <w:szCs w:val="30"/>
        </w:rPr>
        <w:t>We will seek to keep children and young people safe by</w:t>
      </w:r>
    </w:p>
    <w:p w14:paraId="7AA65615">
      <w:pPr>
        <w:spacing w:before="40" w:after="0"/>
      </w:pPr>
    </w:p>
    <w:p w14:paraId="764EE9A2">
      <w:pPr>
        <w:pStyle w:val="16"/>
        <w:numPr>
          <w:ilvl w:val="0"/>
          <w:numId w:val="1"/>
        </w:numPr>
        <w:spacing w:before="50" w:after="50"/>
      </w:pPr>
      <w:r>
        <w:rPr>
          <w:rFonts w:ascii="Arial" w:hAnsi="Arial" w:eastAsia="Arial" w:cs="Arial"/>
          <w:b w:val="0"/>
          <w:bCs w:val="0"/>
          <w:i w:val="0"/>
          <w:iCs w:val="0"/>
          <w:color w:val="1A1A1A"/>
          <w:sz w:val="21"/>
          <w:szCs w:val="21"/>
        </w:rPr>
        <w:t>Valuing, listening to and respecting them.</w:t>
      </w:r>
    </w:p>
    <w:p w14:paraId="2279F877">
      <w:pPr>
        <w:pStyle w:val="16"/>
        <w:numPr>
          <w:ilvl w:val="0"/>
          <w:numId w:val="1"/>
        </w:numPr>
        <w:spacing w:before="50" w:after="50"/>
      </w:pPr>
      <w:r>
        <w:rPr>
          <w:rFonts w:ascii="Arial" w:hAnsi="Arial" w:eastAsia="Arial" w:cs="Arial"/>
          <w:b w:val="0"/>
          <w:bCs w:val="0"/>
          <w:i w:val="0"/>
          <w:iCs w:val="0"/>
          <w:color w:val="1A1A1A"/>
          <w:sz w:val="21"/>
          <w:szCs w:val="21"/>
        </w:rPr>
        <w:t>Appointing two Designated Safeguarding Leads and a Board Safeguarding Lead (Director), so that safeguarding responsibility never rests on one person alone.</w:t>
      </w:r>
    </w:p>
    <w:p w14:paraId="2ABA82AB">
      <w:pPr>
        <w:pStyle w:val="16"/>
        <w:numPr>
          <w:ilvl w:val="0"/>
          <w:numId w:val="1"/>
        </w:numPr>
        <w:spacing w:before="50" w:after="50"/>
      </w:pPr>
      <w:r>
        <w:rPr>
          <w:rFonts w:ascii="Arial" w:hAnsi="Arial" w:eastAsia="Arial" w:cs="Arial"/>
          <w:b w:val="0"/>
          <w:bCs w:val="0"/>
          <w:i w:val="0"/>
          <w:iCs w:val="0"/>
          <w:color w:val="1A1A1A"/>
          <w:sz w:val="21"/>
          <w:szCs w:val="21"/>
        </w:rPr>
        <w:t>Adopting child protection and safeguarding best practice through our policies, procedures and Codes of Conduct for staff, volunteers, participants and parents and carers.</w:t>
      </w:r>
    </w:p>
    <w:p w14:paraId="5D7DA954">
      <w:pPr>
        <w:pStyle w:val="16"/>
        <w:numPr>
          <w:ilvl w:val="0"/>
          <w:numId w:val="1"/>
        </w:numPr>
        <w:spacing w:before="50" w:after="50"/>
      </w:pPr>
      <w:r>
        <w:rPr>
          <w:rFonts w:ascii="Arial" w:hAnsi="Arial" w:eastAsia="Arial" w:cs="Arial"/>
          <w:b w:val="0"/>
          <w:bCs w:val="0"/>
          <w:i w:val="0"/>
          <w:iCs w:val="0"/>
          <w:color w:val="1A1A1A"/>
          <w:sz w:val="21"/>
          <w:szCs w:val="21"/>
        </w:rPr>
        <w:t>Developing and implementing an online safety policy and related procedures.</w:t>
      </w:r>
    </w:p>
    <w:p w14:paraId="784D81F8">
      <w:pPr>
        <w:pStyle w:val="16"/>
        <w:numPr>
          <w:ilvl w:val="0"/>
          <w:numId w:val="1"/>
        </w:numPr>
        <w:spacing w:before="50" w:after="50"/>
      </w:pPr>
      <w:r>
        <w:rPr>
          <w:rFonts w:ascii="Arial" w:hAnsi="Arial" w:eastAsia="Arial" w:cs="Arial"/>
          <w:b w:val="0"/>
          <w:bCs w:val="0"/>
          <w:i w:val="0"/>
          <w:iCs w:val="0"/>
          <w:color w:val="1A1A1A"/>
          <w:sz w:val="21"/>
          <w:szCs w:val="21"/>
        </w:rPr>
        <w:t>Providing effective management for staff and volunteers through supervision, support, training and quality assurance, so that everyone knows about and follows our policies, procedures and behaviour codes confidently and competently.</w:t>
      </w:r>
    </w:p>
    <w:p w14:paraId="4CC8C961">
      <w:pPr>
        <w:pStyle w:val="16"/>
        <w:numPr>
          <w:ilvl w:val="0"/>
          <w:numId w:val="1"/>
        </w:numPr>
        <w:spacing w:before="50" w:after="50"/>
      </w:pPr>
      <w:r>
        <w:rPr>
          <w:rFonts w:ascii="Arial" w:hAnsi="Arial" w:eastAsia="Arial" w:cs="Arial"/>
          <w:b w:val="0"/>
          <w:bCs w:val="0"/>
          <w:i w:val="0"/>
          <w:iCs w:val="0"/>
          <w:color w:val="1A1A1A"/>
          <w:sz w:val="21"/>
          <w:szCs w:val="21"/>
        </w:rPr>
        <w:t>Recruiting and selecting staff and volunteers safely, ensuring all necessary DBS and other checks are completed before anyone works unsupervised with children.</w:t>
      </w:r>
    </w:p>
    <w:p w14:paraId="7D27C190">
      <w:pPr>
        <w:pStyle w:val="16"/>
        <w:numPr>
          <w:ilvl w:val="0"/>
          <w:numId w:val="1"/>
        </w:numPr>
        <w:spacing w:before="50" w:after="50"/>
      </w:pPr>
      <w:r>
        <w:rPr>
          <w:rFonts w:ascii="Arial" w:hAnsi="Arial" w:eastAsia="Arial" w:cs="Arial"/>
          <w:b w:val="0"/>
          <w:bCs w:val="0"/>
          <w:i w:val="0"/>
          <w:iCs w:val="0"/>
          <w:color w:val="1A1A1A"/>
          <w:sz w:val="21"/>
          <w:szCs w:val="21"/>
        </w:rPr>
        <w:t>Recording, storing and using information professionally and securely, in line with UK GDPR and the Data Protection Act 2018.</w:t>
      </w:r>
    </w:p>
    <w:p w14:paraId="5E800699">
      <w:pPr>
        <w:pStyle w:val="16"/>
        <w:numPr>
          <w:ilvl w:val="0"/>
          <w:numId w:val="1"/>
        </w:numPr>
        <w:spacing w:before="50" w:after="50"/>
      </w:pPr>
      <w:r>
        <w:rPr>
          <w:rFonts w:ascii="Arial" w:hAnsi="Arial" w:eastAsia="Arial" w:cs="Arial"/>
          <w:b w:val="0"/>
          <w:bCs w:val="0"/>
          <w:i w:val="0"/>
          <w:iCs w:val="0"/>
          <w:color w:val="1A1A1A"/>
          <w:sz w:val="21"/>
          <w:szCs w:val="21"/>
        </w:rPr>
        <w:t>Sharing information about safeguarding and good practice with children and their families, including through our Child-Friendly Safeguarding Summary (Appendix O).</w:t>
      </w:r>
    </w:p>
    <w:p w14:paraId="51EC73BE">
      <w:pPr>
        <w:pStyle w:val="16"/>
        <w:numPr>
          <w:ilvl w:val="0"/>
          <w:numId w:val="1"/>
        </w:numPr>
        <w:spacing w:before="50" w:after="50"/>
      </w:pPr>
      <w:r>
        <w:rPr>
          <w:rFonts w:ascii="Arial" w:hAnsi="Arial" w:eastAsia="Arial" w:cs="Arial"/>
          <w:b w:val="0"/>
          <w:bCs w:val="0"/>
          <w:i w:val="0"/>
          <w:iCs w:val="0"/>
          <w:color w:val="1A1A1A"/>
          <w:sz w:val="21"/>
          <w:szCs w:val="21"/>
        </w:rPr>
        <w:t>Making sure that children, young people and their families know where to go for help if they have a concern.</w:t>
      </w:r>
    </w:p>
    <w:p w14:paraId="4BDC8E91">
      <w:pPr>
        <w:pStyle w:val="16"/>
        <w:numPr>
          <w:ilvl w:val="0"/>
          <w:numId w:val="1"/>
        </w:numPr>
        <w:spacing w:before="50" w:after="50"/>
      </w:pPr>
      <w:r>
        <w:rPr>
          <w:rFonts w:ascii="Arial" w:hAnsi="Arial" w:eastAsia="Arial" w:cs="Arial"/>
          <w:b w:val="0"/>
          <w:bCs w:val="0"/>
          <w:i w:val="0"/>
          <w:iCs w:val="0"/>
          <w:color w:val="1A1A1A"/>
          <w:sz w:val="21"/>
          <w:szCs w:val="21"/>
        </w:rPr>
        <w:t>Using our safeguarding and child protection procedures to share concerns and relevant information with agencies who need to know, and involving children, young people, parents, families and carers appropriately.</w:t>
      </w:r>
    </w:p>
    <w:p w14:paraId="12EEEF2A">
      <w:pPr>
        <w:pStyle w:val="16"/>
        <w:numPr>
          <w:ilvl w:val="0"/>
          <w:numId w:val="1"/>
        </w:numPr>
        <w:spacing w:before="50" w:after="50"/>
      </w:pPr>
      <w:r>
        <w:rPr>
          <w:rFonts w:ascii="Arial" w:hAnsi="Arial" w:eastAsia="Arial" w:cs="Arial"/>
          <w:b w:val="0"/>
          <w:bCs w:val="0"/>
          <w:i w:val="0"/>
          <w:iCs w:val="0"/>
          <w:color w:val="1A1A1A"/>
          <w:sz w:val="21"/>
          <w:szCs w:val="21"/>
        </w:rPr>
        <w:t>Using our procedures to manage any allegations against staff and volunteers appropriately.</w:t>
      </w:r>
    </w:p>
    <w:p w14:paraId="259783C9">
      <w:pPr>
        <w:pStyle w:val="16"/>
        <w:numPr>
          <w:ilvl w:val="0"/>
          <w:numId w:val="1"/>
        </w:numPr>
        <w:spacing w:before="50" w:after="50"/>
      </w:pPr>
      <w:r>
        <w:rPr>
          <w:rFonts w:ascii="Arial" w:hAnsi="Arial" w:eastAsia="Arial" w:cs="Arial"/>
          <w:b w:val="0"/>
          <w:bCs w:val="0"/>
          <w:i w:val="0"/>
          <w:iCs w:val="0"/>
          <w:color w:val="1A1A1A"/>
          <w:sz w:val="21"/>
          <w:szCs w:val="21"/>
        </w:rPr>
        <w:t>Creating and maintaining an environment that prevents and responds to child-on-child abuse, including bullying.</w:t>
      </w:r>
    </w:p>
    <w:p w14:paraId="76CF276F">
      <w:pPr>
        <w:pStyle w:val="16"/>
        <w:numPr>
          <w:ilvl w:val="0"/>
          <w:numId w:val="1"/>
        </w:numPr>
        <w:spacing w:before="50" w:after="50"/>
      </w:pPr>
      <w:r>
        <w:rPr>
          <w:rFonts w:ascii="Arial" w:hAnsi="Arial" w:eastAsia="Arial" w:cs="Arial"/>
          <w:b w:val="0"/>
          <w:bCs w:val="0"/>
          <w:i w:val="0"/>
          <w:iCs w:val="0"/>
          <w:color w:val="1A1A1A"/>
          <w:sz w:val="21"/>
          <w:szCs w:val="21"/>
        </w:rPr>
        <w:t>Ensuring that we have effective complaints and whistleblowing measures in place, including a standalone Whistleblowing Procedure (Appendix N).</w:t>
      </w:r>
    </w:p>
    <w:p w14:paraId="11527208">
      <w:pPr>
        <w:pStyle w:val="16"/>
        <w:numPr>
          <w:ilvl w:val="0"/>
          <w:numId w:val="1"/>
        </w:numPr>
        <w:spacing w:before="50" w:after="50"/>
      </w:pPr>
      <w:r>
        <w:rPr>
          <w:rFonts w:ascii="Arial" w:hAnsi="Arial" w:eastAsia="Arial" w:cs="Arial"/>
          <w:b w:val="0"/>
          <w:bCs w:val="0"/>
          <w:i w:val="0"/>
          <w:iCs w:val="0"/>
          <w:color w:val="1A1A1A"/>
          <w:sz w:val="21"/>
          <w:szCs w:val="21"/>
        </w:rPr>
        <w:t>Ensuring that we provide a safe physical environment for children, young people, staff and volunteers, in accordance with the law and our Health and Safety Policy.</w:t>
      </w:r>
    </w:p>
    <w:p w14:paraId="4E0C26BB">
      <w:pPr>
        <w:pStyle w:val="16"/>
        <w:numPr>
          <w:ilvl w:val="0"/>
          <w:numId w:val="1"/>
        </w:numPr>
        <w:spacing w:before="50" w:after="50"/>
      </w:pPr>
      <w:r>
        <w:rPr>
          <w:rFonts w:ascii="Arial" w:hAnsi="Arial" w:eastAsia="Arial" w:cs="Arial"/>
          <w:b w:val="0"/>
          <w:bCs w:val="0"/>
          <w:i w:val="0"/>
          <w:iCs w:val="0"/>
          <w:color w:val="1A1A1A"/>
          <w:sz w:val="21"/>
          <w:szCs w:val="21"/>
        </w:rPr>
        <w:t>Building a safeguarding culture where staff, volunteers, children, young people and their families treat each other with respect and are comfortable sharing concerns.</w:t>
      </w:r>
    </w:p>
    <w:p w14:paraId="6F260D7F">
      <w:pPr>
        <w:spacing w:before="80" w:after="0"/>
      </w:pPr>
    </w:p>
    <w:p w14:paraId="51F6AA4E">
      <w:pPr>
        <w:pBdr>
          <w:bottom w:val="single" w:color="2E7D55" w:sz="8" w:space="6"/>
        </w:pBdr>
        <w:spacing w:before="280" w:after="100"/>
      </w:pPr>
      <w:r>
        <w:rPr>
          <w:rFonts w:ascii="Arial" w:hAnsi="Arial" w:eastAsia="Arial" w:cs="Arial"/>
          <w:b/>
          <w:bCs/>
          <w:i w:val="0"/>
          <w:iCs w:val="0"/>
          <w:color w:val="2E7D55"/>
          <w:sz w:val="30"/>
          <w:szCs w:val="30"/>
        </w:rPr>
        <w:t>If you have a concern</w:t>
      </w:r>
    </w:p>
    <w:p w14:paraId="14FEA3CC">
      <w:pPr>
        <w:spacing w:before="40" w:after="0"/>
      </w:pPr>
    </w:p>
    <w:tbl>
      <w:tblPr>
        <w:tblStyle w:val="9"/>
        <w:tblW w:w="10212" w:type="dxa"/>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 w:type="dxa"/>
          <w:bottom w:w="0" w:type="dxa"/>
          <w:right w:w="10" w:type="dxa"/>
        </w:tblCellMar>
      </w:tblPr>
      <w:tblGrid>
        <w:gridCol w:w="10212"/>
      </w:tblGrid>
      <w:tr w14:paraId="373C8DA5">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 w:type="dxa"/>
            <w:bottom w:w="0" w:type="dxa"/>
            <w:right w:w="10" w:type="dxa"/>
          </w:tblCellMar>
        </w:tblPrEx>
        <w:tc>
          <w:tcPr>
            <w:tcW w:w="10212" w:type="dxa"/>
            <w:tcBorders>
              <w:top w:val="single" w:color="1F4E79" w:sz="12" w:space="0"/>
              <w:left w:val="single" w:color="1F4E79" w:sz="12" w:space="0"/>
              <w:bottom w:val="single" w:color="1F4E79" w:sz="12" w:space="0"/>
              <w:right w:val="single" w:color="1F4E79" w:sz="12" w:space="0"/>
            </w:tcBorders>
            <w:shd w:val="clear" w:color="auto" w:fill="DEEAF1"/>
            <w:tcMar>
              <w:top w:w="140" w:type="dxa"/>
              <w:left w:w="200" w:type="dxa"/>
              <w:bottom w:w="140" w:type="dxa"/>
              <w:right w:w="200" w:type="dxa"/>
            </w:tcMar>
          </w:tcPr>
          <w:p w14:paraId="36619D84">
            <w:pPr>
              <w:spacing w:before="40" w:after="40"/>
              <w:jc w:val="left"/>
            </w:pPr>
            <w:r>
              <w:rPr>
                <w:rFonts w:ascii="Arial" w:hAnsi="Arial" w:eastAsia="Arial" w:cs="Arial"/>
                <w:b w:val="0"/>
                <w:bCs w:val="0"/>
                <w:i w:val="0"/>
                <w:iCs w:val="0"/>
                <w:color w:val="1A1A1A"/>
                <w:sz w:val="21"/>
                <w:szCs w:val="21"/>
              </w:rPr>
              <w:t xml:space="preserve">Report immediately to either DSL </w:t>
            </w:r>
            <w:r>
              <w:rPr>
                <w:rFonts w:ascii="Arial" w:hAnsi="Arial" w:eastAsia="Arial" w:cs="Arial"/>
                <w:b w:val="0"/>
                <w:bCs w:val="0"/>
                <w:i w:val="0"/>
                <w:iCs w:val="0"/>
                <w:color w:val="1A1A1A"/>
                <w:sz w:val="21"/>
                <w:szCs w:val="21"/>
                <w:lang w:val="en-US"/>
              </w:rPr>
              <w:t>-</w:t>
            </w:r>
            <w:r>
              <w:rPr>
                <w:rFonts w:ascii="Arial" w:hAnsi="Arial" w:eastAsia="Arial" w:cs="Arial"/>
                <w:b w:val="0"/>
                <w:bCs w:val="0"/>
                <w:i w:val="0"/>
                <w:iCs w:val="0"/>
                <w:color w:val="1A1A1A"/>
                <w:sz w:val="21"/>
                <w:szCs w:val="21"/>
              </w:rPr>
              <w:t xml:space="preserve"> do not delay, do not investigate yourself.</w:t>
            </w:r>
          </w:p>
          <w:p w14:paraId="6105D6C9">
            <w:pPr>
              <w:spacing w:before="40" w:after="40"/>
              <w:jc w:val="left"/>
            </w:pPr>
            <w:r>
              <w:rPr>
                <w:rFonts w:ascii="Arial" w:hAnsi="Arial" w:eastAsia="Arial" w:cs="Arial"/>
                <w:b w:val="0"/>
                <w:bCs w:val="0"/>
                <w:i w:val="0"/>
                <w:iCs w:val="0"/>
                <w:color w:val="1A1A1A"/>
                <w:sz w:val="21"/>
                <w:szCs w:val="21"/>
              </w:rPr>
              <w:t>If the concern involves a DSL, contact the Board Safeguarding Lead: Gadina Jones.</w:t>
            </w:r>
          </w:p>
          <w:p w14:paraId="576FE359">
            <w:pPr>
              <w:spacing w:before="40" w:after="40"/>
              <w:jc w:val="left"/>
            </w:pPr>
            <w:r>
              <w:rPr>
                <w:rFonts w:ascii="Arial" w:hAnsi="Arial" w:eastAsia="Arial" w:cs="Arial"/>
                <w:b/>
                <w:bCs/>
                <w:i w:val="0"/>
                <w:iCs w:val="0"/>
                <w:color w:val="1A1A1A"/>
                <w:sz w:val="21"/>
                <w:szCs w:val="21"/>
              </w:rPr>
              <w:t>If a child is in immediate danger, call 999 first, then inform the DSL.</w:t>
            </w:r>
          </w:p>
          <w:p w14:paraId="44122207">
            <w:pPr>
              <w:spacing w:before="40" w:after="40"/>
              <w:jc w:val="left"/>
            </w:pPr>
            <w:r>
              <w:rPr>
                <w:rFonts w:ascii="Arial" w:hAnsi="Arial" w:eastAsia="Arial" w:cs="Arial"/>
                <w:b w:val="0"/>
                <w:bCs w:val="0"/>
                <w:i w:val="0"/>
                <w:iCs w:val="0"/>
                <w:color w:val="1A1A1A"/>
                <w:sz w:val="21"/>
                <w:szCs w:val="21"/>
              </w:rPr>
              <w:t>Kent Children's Social Care: 03000 411111 (out of hours: 03000 419191).</w:t>
            </w:r>
          </w:p>
        </w:tc>
      </w:tr>
    </w:tbl>
    <w:p w14:paraId="28794448">
      <w:pPr>
        <w:spacing w:before="80" w:after="0"/>
      </w:pPr>
    </w:p>
    <w:p w14:paraId="2CB40AFB">
      <w:pPr>
        <w:pBdr>
          <w:bottom w:val="single" w:color="2E7D55" w:sz="8" w:space="6"/>
        </w:pBdr>
        <w:spacing w:before="280" w:after="100"/>
      </w:pPr>
      <w:r>
        <w:rPr>
          <w:rFonts w:ascii="Arial" w:hAnsi="Arial" w:eastAsia="Arial" w:cs="Arial"/>
          <w:b/>
          <w:bCs/>
          <w:i w:val="0"/>
          <w:iCs w:val="0"/>
          <w:color w:val="2E7D55"/>
          <w:sz w:val="30"/>
          <w:szCs w:val="30"/>
        </w:rPr>
        <w:t>Contact details</w:t>
      </w:r>
    </w:p>
    <w:p w14:paraId="16EDD1E6">
      <w:pPr>
        <w:spacing w:before="60" w:after="0"/>
      </w:pPr>
    </w:p>
    <w:tbl>
      <w:tblPr>
        <w:tblStyle w:val="9"/>
        <w:tblW w:w="9360" w:type="dxa"/>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 w:type="dxa"/>
          <w:bottom w:w="0" w:type="dxa"/>
          <w:right w:w="10" w:type="dxa"/>
        </w:tblCellMar>
      </w:tblPr>
      <w:tblGrid>
        <w:gridCol w:w="2800"/>
        <w:gridCol w:w="3280"/>
        <w:gridCol w:w="3280"/>
      </w:tblGrid>
      <w:tr w14:paraId="13D7829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 w:type="dxa"/>
            <w:bottom w:w="0" w:type="dxa"/>
            <w:right w:w="10" w:type="dxa"/>
          </w:tblCellMar>
        </w:tblPrEx>
        <w:tc>
          <w:tcPr>
            <w:tcW w:w="2800" w:type="dxa"/>
            <w:tcBorders>
              <w:top w:val="single" w:color="BFBFBF" w:sz="4" w:space="0"/>
              <w:left w:val="single" w:color="BFBFBF" w:sz="4" w:space="0"/>
              <w:bottom w:val="single" w:color="BFBFBF" w:sz="4" w:space="0"/>
              <w:right w:val="single" w:color="BFBFBF" w:sz="4" w:space="0"/>
            </w:tcBorders>
            <w:shd w:val="clear" w:color="auto" w:fill="1F4E79"/>
            <w:tcMar>
              <w:top w:w="60" w:type="dxa"/>
              <w:left w:w="120" w:type="dxa"/>
              <w:bottom w:w="60" w:type="dxa"/>
              <w:right w:w="120" w:type="dxa"/>
            </w:tcMar>
            <w:vAlign w:val="center"/>
          </w:tcPr>
          <w:p w14:paraId="22E39FAB">
            <w:pPr>
              <w:spacing w:before="60" w:after="60"/>
              <w:jc w:val="left"/>
            </w:pPr>
            <w:r>
              <w:rPr>
                <w:rFonts w:ascii="Arial" w:hAnsi="Arial" w:eastAsia="Arial" w:cs="Arial"/>
                <w:b/>
                <w:bCs/>
                <w:i w:val="0"/>
                <w:iCs w:val="0"/>
                <w:color w:val="FFFFFF"/>
                <w:sz w:val="20"/>
                <w:szCs w:val="20"/>
              </w:rPr>
              <w:t>Role</w:t>
            </w:r>
          </w:p>
        </w:tc>
        <w:tc>
          <w:tcPr>
            <w:tcW w:w="3280" w:type="dxa"/>
            <w:tcBorders>
              <w:top w:val="single" w:color="BFBFBF" w:sz="4" w:space="0"/>
              <w:left w:val="single" w:color="BFBFBF" w:sz="4" w:space="0"/>
              <w:bottom w:val="single" w:color="BFBFBF" w:sz="4" w:space="0"/>
              <w:right w:val="single" w:color="BFBFBF" w:sz="4" w:space="0"/>
            </w:tcBorders>
            <w:shd w:val="clear" w:color="auto" w:fill="1F4E79"/>
            <w:tcMar>
              <w:top w:w="60" w:type="dxa"/>
              <w:left w:w="120" w:type="dxa"/>
              <w:bottom w:w="60" w:type="dxa"/>
              <w:right w:w="120" w:type="dxa"/>
            </w:tcMar>
            <w:vAlign w:val="center"/>
          </w:tcPr>
          <w:p w14:paraId="17BEBE8F">
            <w:pPr>
              <w:spacing w:before="60" w:after="60"/>
              <w:jc w:val="left"/>
            </w:pPr>
            <w:r>
              <w:rPr>
                <w:rFonts w:ascii="Arial" w:hAnsi="Arial" w:eastAsia="Arial" w:cs="Arial"/>
                <w:b/>
                <w:bCs/>
                <w:i w:val="0"/>
                <w:iCs w:val="0"/>
                <w:color w:val="FFFFFF"/>
                <w:sz w:val="20"/>
                <w:szCs w:val="20"/>
              </w:rPr>
              <w:t>Name</w:t>
            </w:r>
          </w:p>
        </w:tc>
        <w:tc>
          <w:tcPr>
            <w:tcW w:w="3280" w:type="dxa"/>
            <w:tcBorders>
              <w:top w:val="single" w:color="BFBFBF" w:sz="4" w:space="0"/>
              <w:left w:val="single" w:color="BFBFBF" w:sz="4" w:space="0"/>
              <w:bottom w:val="single" w:color="BFBFBF" w:sz="4" w:space="0"/>
              <w:right w:val="single" w:color="BFBFBF" w:sz="4" w:space="0"/>
            </w:tcBorders>
            <w:shd w:val="clear" w:color="auto" w:fill="1F4E79"/>
            <w:tcMar>
              <w:top w:w="60" w:type="dxa"/>
              <w:left w:w="120" w:type="dxa"/>
              <w:bottom w:w="60" w:type="dxa"/>
              <w:right w:w="120" w:type="dxa"/>
            </w:tcMar>
            <w:vAlign w:val="center"/>
          </w:tcPr>
          <w:p w14:paraId="7AA02EC6">
            <w:pPr>
              <w:spacing w:before="60" w:after="60"/>
              <w:jc w:val="left"/>
            </w:pPr>
            <w:r>
              <w:rPr>
                <w:rFonts w:ascii="Arial" w:hAnsi="Arial" w:eastAsia="Arial" w:cs="Arial"/>
                <w:b/>
                <w:bCs/>
                <w:i w:val="0"/>
                <w:iCs w:val="0"/>
                <w:color w:val="FFFFFF"/>
                <w:sz w:val="20"/>
                <w:szCs w:val="20"/>
              </w:rPr>
              <w:t>Contact</w:t>
            </w:r>
          </w:p>
        </w:tc>
      </w:tr>
      <w:tr w14:paraId="5EE8FC7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 w:type="dxa"/>
            <w:bottom w:w="0" w:type="dxa"/>
            <w:right w:w="10" w:type="dxa"/>
          </w:tblCellMar>
        </w:tblPrEx>
        <w:tc>
          <w:tcPr>
            <w:tcW w:w="2800" w:type="dxa"/>
            <w:tcBorders>
              <w:top w:val="single" w:color="BFBFBF" w:sz="4" w:space="0"/>
              <w:left w:val="single" w:color="BFBFBF" w:sz="4" w:space="0"/>
              <w:bottom w:val="single" w:color="BFBFBF" w:sz="4" w:space="0"/>
              <w:right w:val="single" w:color="BFBFBF" w:sz="4" w:space="0"/>
            </w:tcBorders>
            <w:shd w:val="clear" w:color="auto" w:fill="F2F2F2"/>
            <w:tcMar>
              <w:top w:w="60" w:type="dxa"/>
              <w:left w:w="120" w:type="dxa"/>
              <w:bottom w:w="60" w:type="dxa"/>
              <w:right w:w="120" w:type="dxa"/>
            </w:tcMar>
            <w:vAlign w:val="center"/>
          </w:tcPr>
          <w:p w14:paraId="5A36A891">
            <w:pPr>
              <w:spacing w:before="60" w:after="60"/>
              <w:jc w:val="left"/>
            </w:pPr>
            <w:r>
              <w:rPr>
                <w:rFonts w:ascii="Arial" w:hAnsi="Arial" w:eastAsia="Arial" w:cs="Arial"/>
                <w:b w:val="0"/>
                <w:bCs w:val="0"/>
                <w:i w:val="0"/>
                <w:iCs w:val="0"/>
                <w:color w:val="1A1A1A"/>
                <w:sz w:val="20"/>
                <w:szCs w:val="20"/>
              </w:rPr>
              <w:t>Designated Safeguarding Lead</w:t>
            </w:r>
          </w:p>
        </w:tc>
        <w:tc>
          <w:tcPr>
            <w:tcW w:w="3280" w:type="dxa"/>
            <w:tcBorders>
              <w:top w:val="single" w:color="BFBFBF" w:sz="4" w:space="0"/>
              <w:left w:val="single" w:color="BFBFBF" w:sz="4" w:space="0"/>
              <w:bottom w:val="single" w:color="BFBFBF" w:sz="4" w:space="0"/>
              <w:right w:val="single" w:color="BFBFBF" w:sz="4" w:space="0"/>
            </w:tcBorders>
            <w:shd w:val="clear" w:color="auto" w:fill="F2F2F2"/>
            <w:tcMar>
              <w:top w:w="60" w:type="dxa"/>
              <w:left w:w="120" w:type="dxa"/>
              <w:bottom w:w="60" w:type="dxa"/>
              <w:right w:w="120" w:type="dxa"/>
            </w:tcMar>
            <w:vAlign w:val="center"/>
          </w:tcPr>
          <w:p w14:paraId="06501476">
            <w:pPr>
              <w:spacing w:before="60" w:after="60"/>
              <w:jc w:val="left"/>
            </w:pPr>
            <w:r>
              <w:rPr>
                <w:rFonts w:ascii="Arial" w:hAnsi="Arial" w:eastAsia="Arial" w:cs="Arial"/>
                <w:b w:val="0"/>
                <w:bCs w:val="0"/>
                <w:i w:val="0"/>
                <w:iCs w:val="0"/>
                <w:color w:val="1A1A1A"/>
                <w:sz w:val="20"/>
                <w:szCs w:val="20"/>
              </w:rPr>
              <w:t>Lilian Fowowe</w:t>
            </w:r>
          </w:p>
        </w:tc>
        <w:tc>
          <w:tcPr>
            <w:tcW w:w="3280" w:type="dxa"/>
            <w:tcBorders>
              <w:top w:val="single" w:color="BFBFBF" w:sz="4" w:space="0"/>
              <w:left w:val="single" w:color="BFBFBF" w:sz="4" w:space="0"/>
              <w:bottom w:val="single" w:color="BFBFBF" w:sz="4" w:space="0"/>
              <w:right w:val="single" w:color="BFBFBF" w:sz="4" w:space="0"/>
            </w:tcBorders>
            <w:shd w:val="clear" w:color="auto" w:fill="F2F2F2"/>
            <w:tcMar>
              <w:top w:w="60" w:type="dxa"/>
              <w:left w:w="120" w:type="dxa"/>
              <w:bottom w:w="60" w:type="dxa"/>
              <w:right w:w="120" w:type="dxa"/>
            </w:tcMar>
            <w:vAlign w:val="center"/>
          </w:tcPr>
          <w:p w14:paraId="08B695E1">
            <w:pPr>
              <w:spacing w:before="60" w:after="60"/>
              <w:jc w:val="left"/>
            </w:pPr>
            <w:r>
              <w:rPr>
                <w:rFonts w:ascii="Arial" w:hAnsi="Arial" w:eastAsia="Arial" w:cs="Arial"/>
                <w:b w:val="0"/>
                <w:bCs w:val="0"/>
                <w:i w:val="0"/>
                <w:iCs w:val="0"/>
                <w:color w:val="1A1A1A"/>
                <w:sz w:val="20"/>
                <w:szCs w:val="20"/>
              </w:rPr>
              <w:t>dsl@tlchub.uk</w:t>
            </w:r>
          </w:p>
        </w:tc>
      </w:tr>
      <w:tr w14:paraId="79918D5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 w:type="dxa"/>
            <w:bottom w:w="0" w:type="dxa"/>
            <w:right w:w="10" w:type="dxa"/>
          </w:tblCellMar>
        </w:tblPrEx>
        <w:tc>
          <w:tcPr>
            <w:tcW w:w="2800" w:type="dxa"/>
            <w:tcBorders>
              <w:top w:val="single" w:color="BFBFBF" w:sz="4" w:space="0"/>
              <w:left w:val="single" w:color="BFBFBF" w:sz="4" w:space="0"/>
              <w:bottom w:val="single" w:color="BFBFBF" w:sz="4" w:space="0"/>
              <w:right w:val="single" w:color="BFBFBF" w:sz="4" w:space="0"/>
            </w:tcBorders>
            <w:tcMar>
              <w:top w:w="60" w:type="dxa"/>
              <w:left w:w="120" w:type="dxa"/>
              <w:bottom w:w="60" w:type="dxa"/>
              <w:right w:w="120" w:type="dxa"/>
            </w:tcMar>
            <w:vAlign w:val="center"/>
          </w:tcPr>
          <w:p w14:paraId="19A778CB">
            <w:pPr>
              <w:spacing w:before="60" w:after="60"/>
              <w:jc w:val="left"/>
            </w:pPr>
            <w:r>
              <w:rPr>
                <w:rFonts w:ascii="Arial" w:hAnsi="Arial" w:eastAsia="Arial" w:cs="Arial"/>
                <w:b w:val="0"/>
                <w:bCs w:val="0"/>
                <w:i w:val="0"/>
                <w:iCs w:val="0"/>
                <w:color w:val="1A1A1A"/>
                <w:sz w:val="20"/>
                <w:szCs w:val="20"/>
              </w:rPr>
              <w:t>Designated Safeguarding Lead</w:t>
            </w:r>
          </w:p>
        </w:tc>
        <w:tc>
          <w:tcPr>
            <w:tcW w:w="3280" w:type="dxa"/>
            <w:tcBorders>
              <w:top w:val="single" w:color="BFBFBF" w:sz="4" w:space="0"/>
              <w:left w:val="single" w:color="BFBFBF" w:sz="4" w:space="0"/>
              <w:bottom w:val="single" w:color="BFBFBF" w:sz="4" w:space="0"/>
              <w:right w:val="single" w:color="BFBFBF" w:sz="4" w:space="0"/>
            </w:tcBorders>
            <w:tcMar>
              <w:top w:w="60" w:type="dxa"/>
              <w:left w:w="120" w:type="dxa"/>
              <w:bottom w:w="60" w:type="dxa"/>
              <w:right w:w="120" w:type="dxa"/>
            </w:tcMar>
            <w:vAlign w:val="center"/>
          </w:tcPr>
          <w:p w14:paraId="131964B2">
            <w:pPr>
              <w:spacing w:before="60" w:after="60"/>
              <w:jc w:val="left"/>
            </w:pPr>
            <w:r>
              <w:rPr>
                <w:rFonts w:ascii="Arial" w:hAnsi="Arial" w:eastAsia="Arial" w:cs="Arial"/>
                <w:b w:val="0"/>
                <w:bCs w:val="0"/>
                <w:i w:val="0"/>
                <w:iCs w:val="0"/>
                <w:color w:val="1A1A1A"/>
                <w:sz w:val="20"/>
                <w:szCs w:val="20"/>
              </w:rPr>
              <w:t>Lordina Owusu</w:t>
            </w:r>
          </w:p>
        </w:tc>
        <w:tc>
          <w:tcPr>
            <w:tcW w:w="3280" w:type="dxa"/>
            <w:tcBorders>
              <w:top w:val="single" w:color="BFBFBF" w:sz="4" w:space="0"/>
              <w:left w:val="single" w:color="BFBFBF" w:sz="4" w:space="0"/>
              <w:bottom w:val="single" w:color="BFBFBF" w:sz="4" w:space="0"/>
              <w:right w:val="single" w:color="BFBFBF" w:sz="4" w:space="0"/>
            </w:tcBorders>
            <w:tcMar>
              <w:top w:w="60" w:type="dxa"/>
              <w:left w:w="120" w:type="dxa"/>
              <w:bottom w:w="60" w:type="dxa"/>
              <w:right w:w="120" w:type="dxa"/>
            </w:tcMar>
            <w:vAlign w:val="center"/>
          </w:tcPr>
          <w:p w14:paraId="58BBBF95">
            <w:pPr>
              <w:spacing w:before="60" w:after="60"/>
              <w:jc w:val="left"/>
            </w:pPr>
            <w:r>
              <w:rPr>
                <w:rFonts w:ascii="Arial" w:hAnsi="Arial" w:eastAsia="Arial" w:cs="Arial"/>
                <w:b w:val="0"/>
                <w:bCs w:val="0"/>
                <w:i w:val="0"/>
                <w:iCs w:val="0"/>
                <w:color w:val="1A1A1A"/>
                <w:sz w:val="20"/>
                <w:szCs w:val="20"/>
              </w:rPr>
              <w:t>07496 430 505  |  dsl@tlchub.uk</w:t>
            </w:r>
          </w:p>
        </w:tc>
      </w:tr>
      <w:tr w14:paraId="3F3F73A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 w:type="dxa"/>
            <w:bottom w:w="0" w:type="dxa"/>
            <w:right w:w="10" w:type="dxa"/>
          </w:tblCellMar>
        </w:tblPrEx>
        <w:tc>
          <w:tcPr>
            <w:tcW w:w="2800" w:type="dxa"/>
            <w:tcBorders>
              <w:top w:val="single" w:color="BFBFBF" w:sz="4" w:space="0"/>
              <w:left w:val="single" w:color="BFBFBF" w:sz="4" w:space="0"/>
              <w:bottom w:val="single" w:color="BFBFBF" w:sz="4" w:space="0"/>
              <w:right w:val="single" w:color="BFBFBF" w:sz="4" w:space="0"/>
            </w:tcBorders>
            <w:shd w:val="clear" w:color="auto" w:fill="F2F2F2"/>
            <w:tcMar>
              <w:top w:w="60" w:type="dxa"/>
              <w:left w:w="120" w:type="dxa"/>
              <w:bottom w:w="60" w:type="dxa"/>
              <w:right w:w="120" w:type="dxa"/>
            </w:tcMar>
            <w:vAlign w:val="center"/>
          </w:tcPr>
          <w:p w14:paraId="0DE278C3">
            <w:pPr>
              <w:spacing w:before="60" w:after="60"/>
              <w:jc w:val="left"/>
            </w:pPr>
            <w:r>
              <w:rPr>
                <w:rFonts w:ascii="Arial" w:hAnsi="Arial" w:eastAsia="Arial" w:cs="Arial"/>
                <w:b w:val="0"/>
                <w:bCs w:val="0"/>
                <w:i w:val="0"/>
                <w:iCs w:val="0"/>
                <w:color w:val="1A1A1A"/>
                <w:sz w:val="20"/>
                <w:szCs w:val="20"/>
              </w:rPr>
              <w:t>Board Safeguarding Lead (Director)</w:t>
            </w:r>
          </w:p>
        </w:tc>
        <w:tc>
          <w:tcPr>
            <w:tcW w:w="3280" w:type="dxa"/>
            <w:tcBorders>
              <w:top w:val="single" w:color="BFBFBF" w:sz="4" w:space="0"/>
              <w:left w:val="single" w:color="BFBFBF" w:sz="4" w:space="0"/>
              <w:bottom w:val="single" w:color="BFBFBF" w:sz="4" w:space="0"/>
              <w:right w:val="single" w:color="BFBFBF" w:sz="4" w:space="0"/>
            </w:tcBorders>
            <w:shd w:val="clear" w:color="auto" w:fill="F2F2F2"/>
            <w:tcMar>
              <w:top w:w="60" w:type="dxa"/>
              <w:left w:w="120" w:type="dxa"/>
              <w:bottom w:w="60" w:type="dxa"/>
              <w:right w:w="120" w:type="dxa"/>
            </w:tcMar>
            <w:vAlign w:val="center"/>
          </w:tcPr>
          <w:p w14:paraId="246449DD">
            <w:pPr>
              <w:spacing w:before="60" w:after="60"/>
              <w:jc w:val="left"/>
            </w:pPr>
            <w:r>
              <w:rPr>
                <w:rFonts w:ascii="Arial" w:hAnsi="Arial" w:eastAsia="Arial" w:cs="Arial"/>
                <w:b w:val="0"/>
                <w:bCs w:val="0"/>
                <w:i w:val="0"/>
                <w:iCs w:val="0"/>
                <w:color w:val="1A1A1A"/>
                <w:sz w:val="20"/>
                <w:szCs w:val="20"/>
              </w:rPr>
              <w:t>Gadina Jones</w:t>
            </w:r>
          </w:p>
        </w:tc>
        <w:tc>
          <w:tcPr>
            <w:tcW w:w="3280" w:type="dxa"/>
            <w:tcBorders>
              <w:top w:val="single" w:color="BFBFBF" w:sz="4" w:space="0"/>
              <w:left w:val="single" w:color="BFBFBF" w:sz="4" w:space="0"/>
              <w:bottom w:val="single" w:color="BFBFBF" w:sz="4" w:space="0"/>
              <w:right w:val="single" w:color="BFBFBF" w:sz="4" w:space="0"/>
            </w:tcBorders>
            <w:shd w:val="clear" w:color="auto" w:fill="F2F2F2"/>
            <w:tcMar>
              <w:top w:w="60" w:type="dxa"/>
              <w:left w:w="120" w:type="dxa"/>
              <w:bottom w:w="60" w:type="dxa"/>
              <w:right w:w="120" w:type="dxa"/>
            </w:tcMar>
            <w:vAlign w:val="center"/>
          </w:tcPr>
          <w:p w14:paraId="7B5882ED">
            <w:pPr>
              <w:spacing w:before="60" w:after="60"/>
              <w:jc w:val="left"/>
            </w:pPr>
            <w:r>
              <w:rPr>
                <w:rFonts w:ascii="Arial" w:hAnsi="Arial" w:eastAsia="Arial" w:cs="Arial"/>
                <w:b w:val="0"/>
                <w:bCs w:val="0"/>
                <w:i w:val="0"/>
                <w:iCs w:val="0"/>
                <w:color w:val="1A1A1A"/>
                <w:sz w:val="20"/>
                <w:szCs w:val="20"/>
              </w:rPr>
              <w:t>07969 754 359  |  safeguarding@tlchub.uk</w:t>
            </w:r>
          </w:p>
        </w:tc>
      </w:tr>
      <w:tr w14:paraId="37A7EB15">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 w:type="dxa"/>
            <w:bottom w:w="0" w:type="dxa"/>
            <w:right w:w="10" w:type="dxa"/>
          </w:tblCellMar>
        </w:tblPrEx>
        <w:tc>
          <w:tcPr>
            <w:tcW w:w="2800" w:type="dxa"/>
            <w:tcBorders>
              <w:top w:val="single" w:color="BFBFBF" w:sz="4" w:space="0"/>
              <w:left w:val="single" w:color="BFBFBF" w:sz="4" w:space="0"/>
              <w:bottom w:val="single" w:color="BFBFBF" w:sz="4" w:space="0"/>
              <w:right w:val="single" w:color="BFBFBF" w:sz="4" w:space="0"/>
            </w:tcBorders>
            <w:tcMar>
              <w:top w:w="60" w:type="dxa"/>
              <w:left w:w="120" w:type="dxa"/>
              <w:bottom w:w="60" w:type="dxa"/>
              <w:right w:w="120" w:type="dxa"/>
            </w:tcMar>
            <w:vAlign w:val="center"/>
          </w:tcPr>
          <w:p w14:paraId="76D7FF3A">
            <w:pPr>
              <w:spacing w:before="60" w:after="60"/>
              <w:jc w:val="left"/>
            </w:pPr>
            <w:r>
              <w:rPr>
                <w:rFonts w:ascii="Arial" w:hAnsi="Arial" w:eastAsia="Arial" w:cs="Arial"/>
                <w:b w:val="0"/>
                <w:bCs w:val="0"/>
                <w:i w:val="0"/>
                <w:iCs w:val="0"/>
                <w:color w:val="1A1A1A"/>
                <w:sz w:val="20"/>
                <w:szCs w:val="20"/>
              </w:rPr>
              <w:t>Chair of Board of Directors</w:t>
            </w:r>
          </w:p>
        </w:tc>
        <w:tc>
          <w:tcPr>
            <w:tcW w:w="3280" w:type="dxa"/>
            <w:tcBorders>
              <w:top w:val="single" w:color="BFBFBF" w:sz="4" w:space="0"/>
              <w:left w:val="single" w:color="BFBFBF" w:sz="4" w:space="0"/>
              <w:bottom w:val="single" w:color="BFBFBF" w:sz="4" w:space="0"/>
              <w:right w:val="single" w:color="BFBFBF" w:sz="4" w:space="0"/>
            </w:tcBorders>
            <w:tcMar>
              <w:top w:w="60" w:type="dxa"/>
              <w:left w:w="120" w:type="dxa"/>
              <w:bottom w:w="60" w:type="dxa"/>
              <w:right w:w="120" w:type="dxa"/>
            </w:tcMar>
            <w:vAlign w:val="center"/>
          </w:tcPr>
          <w:p w14:paraId="0CDA342E">
            <w:pPr>
              <w:spacing w:before="60" w:after="60"/>
              <w:jc w:val="left"/>
            </w:pPr>
            <w:r>
              <w:rPr>
                <w:rFonts w:ascii="Arial" w:hAnsi="Arial" w:eastAsia="Arial" w:cs="Arial"/>
                <w:b w:val="0"/>
                <w:bCs w:val="0"/>
                <w:i w:val="0"/>
                <w:iCs w:val="0"/>
                <w:color w:val="1A1A1A"/>
                <w:sz w:val="20"/>
                <w:szCs w:val="20"/>
              </w:rPr>
              <w:t>Cecilia Anane-Adusei</w:t>
            </w:r>
          </w:p>
        </w:tc>
        <w:tc>
          <w:tcPr>
            <w:tcW w:w="3280" w:type="dxa"/>
            <w:tcBorders>
              <w:top w:val="single" w:color="BFBFBF" w:sz="4" w:space="0"/>
              <w:left w:val="single" w:color="BFBFBF" w:sz="4" w:space="0"/>
              <w:bottom w:val="single" w:color="BFBFBF" w:sz="4" w:space="0"/>
              <w:right w:val="single" w:color="BFBFBF" w:sz="4" w:space="0"/>
            </w:tcBorders>
            <w:tcMar>
              <w:top w:w="60" w:type="dxa"/>
              <w:left w:w="120" w:type="dxa"/>
              <w:bottom w:w="60" w:type="dxa"/>
              <w:right w:w="120" w:type="dxa"/>
            </w:tcMar>
            <w:vAlign w:val="center"/>
          </w:tcPr>
          <w:p w14:paraId="39F7D30B">
            <w:pPr>
              <w:spacing w:before="60" w:after="60"/>
              <w:jc w:val="left"/>
            </w:pPr>
            <w:r>
              <w:rPr>
                <w:rFonts w:ascii="Arial" w:hAnsi="Arial" w:eastAsia="Arial" w:cs="Arial"/>
                <w:b w:val="0"/>
                <w:bCs w:val="0"/>
                <w:i w:val="0"/>
                <w:iCs w:val="0"/>
                <w:color w:val="1A1A1A"/>
                <w:sz w:val="20"/>
                <w:szCs w:val="20"/>
              </w:rPr>
              <w:t>Via the Board Safeguarding Lead</w:t>
            </w:r>
          </w:p>
        </w:tc>
      </w:tr>
      <w:tr w14:paraId="6F4DDD7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 w:type="dxa"/>
            <w:bottom w:w="0" w:type="dxa"/>
            <w:right w:w="10" w:type="dxa"/>
          </w:tblCellMar>
        </w:tblPrEx>
        <w:tc>
          <w:tcPr>
            <w:tcW w:w="2800" w:type="dxa"/>
            <w:tcBorders>
              <w:top w:val="single" w:color="BFBFBF" w:sz="4" w:space="0"/>
              <w:left w:val="single" w:color="BFBFBF" w:sz="4" w:space="0"/>
              <w:bottom w:val="single" w:color="BFBFBF" w:sz="4" w:space="0"/>
              <w:right w:val="single" w:color="BFBFBF" w:sz="4" w:space="0"/>
            </w:tcBorders>
            <w:shd w:val="clear" w:color="auto" w:fill="F2F2F2"/>
            <w:tcMar>
              <w:top w:w="60" w:type="dxa"/>
              <w:left w:w="120" w:type="dxa"/>
              <w:bottom w:w="60" w:type="dxa"/>
              <w:right w:w="120" w:type="dxa"/>
            </w:tcMar>
            <w:vAlign w:val="center"/>
          </w:tcPr>
          <w:p w14:paraId="27790154">
            <w:pPr>
              <w:spacing w:before="60" w:after="60"/>
              <w:jc w:val="left"/>
            </w:pPr>
            <w:r>
              <w:rPr>
                <w:rFonts w:ascii="Arial" w:hAnsi="Arial" w:eastAsia="Arial" w:cs="Arial"/>
                <w:b w:val="0"/>
                <w:bCs w:val="0"/>
                <w:i w:val="0"/>
                <w:iCs w:val="0"/>
                <w:color w:val="1A1A1A"/>
                <w:sz w:val="20"/>
                <w:szCs w:val="20"/>
              </w:rPr>
              <w:t>NSPCC Helpline</w:t>
            </w:r>
          </w:p>
        </w:tc>
        <w:tc>
          <w:tcPr>
            <w:tcW w:w="3280" w:type="dxa"/>
            <w:tcBorders>
              <w:top w:val="single" w:color="BFBFBF" w:sz="4" w:space="0"/>
              <w:left w:val="single" w:color="BFBFBF" w:sz="4" w:space="0"/>
              <w:bottom w:val="single" w:color="BFBFBF" w:sz="4" w:space="0"/>
              <w:right w:val="single" w:color="BFBFBF" w:sz="4" w:space="0"/>
            </w:tcBorders>
            <w:shd w:val="clear" w:color="auto" w:fill="F2F2F2"/>
            <w:tcMar>
              <w:top w:w="60" w:type="dxa"/>
              <w:left w:w="120" w:type="dxa"/>
              <w:bottom w:w="60" w:type="dxa"/>
              <w:right w:w="120" w:type="dxa"/>
            </w:tcMar>
            <w:vAlign w:val="center"/>
          </w:tcPr>
          <w:p w14:paraId="473253F0">
            <w:pPr>
              <w:spacing w:before="60" w:after="60"/>
              <w:jc w:val="left"/>
              <w:rPr>
                <w:rFonts w:hint="default"/>
                <w:lang w:val="en-US"/>
              </w:rPr>
            </w:pPr>
            <w:r>
              <w:rPr>
                <w:rFonts w:ascii="Arial" w:hAnsi="Arial" w:eastAsia="Arial" w:cs="Arial"/>
                <w:b w:val="0"/>
                <w:bCs w:val="0"/>
                <w:i w:val="0"/>
                <w:iCs w:val="0"/>
                <w:color w:val="1A1A1A"/>
                <w:sz w:val="20"/>
                <w:szCs w:val="20"/>
                <w:lang w:val="en-US"/>
              </w:rPr>
              <w:t>-</w:t>
            </w:r>
          </w:p>
        </w:tc>
        <w:tc>
          <w:tcPr>
            <w:tcW w:w="3280" w:type="dxa"/>
            <w:tcBorders>
              <w:top w:val="single" w:color="BFBFBF" w:sz="4" w:space="0"/>
              <w:left w:val="single" w:color="BFBFBF" w:sz="4" w:space="0"/>
              <w:bottom w:val="single" w:color="BFBFBF" w:sz="4" w:space="0"/>
              <w:right w:val="single" w:color="BFBFBF" w:sz="4" w:space="0"/>
            </w:tcBorders>
            <w:shd w:val="clear" w:color="auto" w:fill="F2F2F2"/>
            <w:tcMar>
              <w:top w:w="60" w:type="dxa"/>
              <w:left w:w="120" w:type="dxa"/>
              <w:bottom w:w="60" w:type="dxa"/>
              <w:right w:w="120" w:type="dxa"/>
            </w:tcMar>
            <w:vAlign w:val="center"/>
          </w:tcPr>
          <w:p w14:paraId="1762CF42">
            <w:pPr>
              <w:spacing w:before="60" w:after="60"/>
              <w:jc w:val="left"/>
            </w:pPr>
            <w:r>
              <w:rPr>
                <w:rFonts w:ascii="Arial" w:hAnsi="Arial" w:eastAsia="Arial" w:cs="Arial"/>
                <w:b w:val="0"/>
                <w:bCs w:val="0"/>
                <w:i w:val="0"/>
                <w:iCs w:val="0"/>
                <w:color w:val="1A1A1A"/>
                <w:sz w:val="20"/>
                <w:szCs w:val="20"/>
              </w:rPr>
              <w:t>0808 800 5000</w:t>
            </w:r>
          </w:p>
        </w:tc>
      </w:tr>
    </w:tbl>
    <w:p w14:paraId="7FE6FDE2">
      <w:pPr>
        <w:spacing w:before="80" w:after="0"/>
      </w:pPr>
    </w:p>
    <w:p w14:paraId="46565F99">
      <w:pPr>
        <w:pBdr>
          <w:bottom w:val="single" w:color="2E7D55" w:sz="8" w:space="6"/>
        </w:pBdr>
        <w:spacing w:before="280" w:after="100"/>
      </w:pPr>
      <w:r>
        <w:rPr>
          <w:rFonts w:ascii="Arial" w:hAnsi="Arial" w:eastAsia="Arial" w:cs="Arial"/>
          <w:b/>
          <w:bCs/>
          <w:i w:val="0"/>
          <w:iCs w:val="0"/>
          <w:color w:val="2E7D55"/>
          <w:sz w:val="30"/>
          <w:szCs w:val="30"/>
        </w:rPr>
        <w:t>Our promise to children and families</w:t>
      </w:r>
    </w:p>
    <w:p w14:paraId="40E6E516">
      <w:pPr>
        <w:spacing w:before="40" w:after="0"/>
      </w:pPr>
    </w:p>
    <w:p w14:paraId="4A2A3A36">
      <w:pPr>
        <w:spacing w:before="50" w:after="50"/>
        <w:jc w:val="left"/>
      </w:pPr>
      <w:r>
        <w:rPr>
          <w:rFonts w:ascii="Arial" w:hAnsi="Arial" w:eastAsia="Arial" w:cs="Arial"/>
          <w:b w:val="0"/>
          <w:bCs w:val="0"/>
          <w:i w:val="0"/>
          <w:iCs w:val="0"/>
          <w:color w:val="1A1A1A"/>
          <w:sz w:val="21"/>
          <w:szCs w:val="21"/>
        </w:rPr>
        <w:t xml:space="preserve">Every child who engages with The Lord's Hub CIC is seen, valued and safe. If you have a concern about a child's welfare </w:t>
      </w:r>
      <w:r>
        <w:rPr>
          <w:rFonts w:ascii="Arial" w:hAnsi="Arial" w:eastAsia="Arial" w:cs="Arial"/>
          <w:b w:val="0"/>
          <w:bCs w:val="0"/>
          <w:i w:val="0"/>
          <w:iCs w:val="0"/>
          <w:color w:val="1A1A1A"/>
          <w:sz w:val="21"/>
          <w:szCs w:val="21"/>
          <w:lang w:val="en-US"/>
        </w:rPr>
        <w:t>-</w:t>
      </w:r>
      <w:r>
        <w:rPr>
          <w:rFonts w:ascii="Arial" w:hAnsi="Arial" w:eastAsia="Arial" w:cs="Arial"/>
          <w:b w:val="0"/>
          <w:bCs w:val="0"/>
          <w:i w:val="0"/>
          <w:iCs w:val="0"/>
          <w:color w:val="1A1A1A"/>
          <w:sz w:val="21"/>
          <w:szCs w:val="21"/>
        </w:rPr>
        <w:t xml:space="preserve"> or about how we handle safeguarding </w:t>
      </w:r>
      <w:r>
        <w:rPr>
          <w:rFonts w:ascii="Arial" w:hAnsi="Arial" w:eastAsia="Arial" w:cs="Arial"/>
          <w:b w:val="0"/>
          <w:bCs w:val="0"/>
          <w:i w:val="0"/>
          <w:iCs w:val="0"/>
          <w:color w:val="1A1A1A"/>
          <w:sz w:val="21"/>
          <w:szCs w:val="21"/>
          <w:lang w:val="en-US"/>
        </w:rPr>
        <w:t>-</w:t>
      </w:r>
      <w:r>
        <w:rPr>
          <w:rFonts w:ascii="Arial" w:hAnsi="Arial" w:eastAsia="Arial" w:cs="Arial"/>
          <w:b w:val="0"/>
          <w:bCs w:val="0"/>
          <w:i w:val="0"/>
          <w:iCs w:val="0"/>
          <w:color w:val="1A1A1A"/>
          <w:sz w:val="21"/>
          <w:szCs w:val="21"/>
        </w:rPr>
        <w:t xml:space="preserve"> please speak to us. Raising a concern will never affect the services you or your child receives.</w:t>
      </w:r>
    </w:p>
    <w:p w14:paraId="0849F417">
      <w:pPr>
        <w:spacing w:before="40" w:after="0"/>
      </w:pPr>
    </w:p>
    <w:p w14:paraId="55A1A56E">
      <w:pPr>
        <w:spacing w:before="50" w:after="50"/>
        <w:jc w:val="left"/>
      </w:pPr>
      <w:r>
        <w:rPr>
          <w:rFonts w:ascii="Arial" w:hAnsi="Arial" w:eastAsia="Arial" w:cs="Arial"/>
          <w:b w:val="0"/>
          <w:bCs w:val="0"/>
          <w:i w:val="0"/>
          <w:iCs w:val="0"/>
          <w:color w:val="1A1A1A"/>
          <w:sz w:val="21"/>
          <w:szCs w:val="21"/>
        </w:rPr>
        <w:t>We are committed to reviewing this policy statement and our wider safeguarding practice at least annually, and sooner where legislation, guidance or our own learning requires it.</w:t>
      </w:r>
    </w:p>
    <w:p w14:paraId="35DCAF16">
      <w:pPr>
        <w:spacing w:before="80" w:after="0"/>
      </w:pPr>
    </w:p>
    <w:p w14:paraId="60119156">
      <w:pPr>
        <w:pBdr>
          <w:bottom w:val="single" w:color="BFBFBF" w:sz="4" w:space="4"/>
        </w:pBdr>
        <w:spacing w:before="80" w:after="0"/>
      </w:pPr>
    </w:p>
    <w:p w14:paraId="3549FD14">
      <w:pPr>
        <w:spacing w:before="60" w:after="0"/>
      </w:pPr>
    </w:p>
    <w:p w14:paraId="5349AB7F">
      <w:pPr>
        <w:spacing w:before="60" w:after="80"/>
      </w:pPr>
      <w:r>
        <w:rPr>
          <w:rFonts w:ascii="Arial" w:hAnsi="Arial" w:eastAsia="Arial" w:cs="Arial"/>
          <w:b/>
          <w:bCs/>
          <w:i w:val="0"/>
          <w:iCs w:val="0"/>
          <w:color w:val="1A1A1A"/>
          <w:sz w:val="20"/>
          <w:szCs w:val="20"/>
        </w:rPr>
        <w:t>This policy statement was last reviewed on: 7th September 2026</w:t>
      </w:r>
    </w:p>
    <w:tbl>
      <w:tblPr>
        <w:tblStyle w:val="9"/>
        <w:tblW w:w="9360" w:type="dxa"/>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 w:type="dxa"/>
          <w:bottom w:w="0" w:type="dxa"/>
          <w:right w:w="10" w:type="dxa"/>
        </w:tblCellMar>
      </w:tblPr>
      <w:tblGrid>
        <w:gridCol w:w="4680"/>
        <w:gridCol w:w="4680"/>
      </w:tblGrid>
      <w:tr w14:paraId="0C2F495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 w:type="dxa"/>
            <w:bottom w:w="0" w:type="dxa"/>
            <w:right w:w="10" w:type="dxa"/>
          </w:tblCellMar>
        </w:tblPrEx>
        <w:tc>
          <w:tcPr>
            <w:tcW w:w="4680" w:type="dxa"/>
            <w:tcBorders>
              <w:top w:val="single" w:color="auto" w:sz="4" w:space="0"/>
              <w:left w:val="single" w:color="auto" w:sz="4" w:space="0"/>
              <w:bottom w:val="single" w:color="auto" w:sz="4" w:space="0"/>
              <w:right w:val="single" w:color="auto" w:sz="4" w:space="0"/>
            </w:tcBorders>
            <w:shd w:val="clear" w:color="auto" w:fill="F2F2F2"/>
            <w:tcMar>
              <w:top w:w="60" w:type="dxa"/>
              <w:left w:w="120" w:type="dxa"/>
              <w:bottom w:w="60" w:type="dxa"/>
              <w:right w:w="120" w:type="dxa"/>
            </w:tcMar>
            <w:vAlign w:val="center"/>
          </w:tcPr>
          <w:p w14:paraId="4D9FEB11">
            <w:pPr>
              <w:spacing w:before="60" w:after="60"/>
              <w:jc w:val="left"/>
            </w:pPr>
            <w:r>
              <w:rPr>
                <w:rFonts w:ascii="Arial" w:hAnsi="Arial" w:eastAsia="Arial" w:cs="Arial"/>
                <w:b/>
                <w:bCs/>
                <w:i w:val="0"/>
                <w:iCs w:val="0"/>
                <w:color w:val="1A1A1A"/>
                <w:sz w:val="20"/>
                <w:szCs w:val="20"/>
              </w:rPr>
              <w:t>Signed (DSL: Lilian Fowowe)</w:t>
            </w:r>
          </w:p>
        </w:tc>
        <w:tc>
          <w:tcPr>
            <w:tcW w:w="4680" w:type="dxa"/>
            <w:tcBorders>
              <w:top w:val="single" w:color="auto" w:sz="4" w:space="0"/>
              <w:left w:val="single" w:color="auto" w:sz="4" w:space="0"/>
              <w:bottom w:val="single" w:color="auto" w:sz="4" w:space="0"/>
              <w:right w:val="single" w:color="auto" w:sz="4" w:space="0"/>
            </w:tcBorders>
            <w:shd w:val="clear" w:color="auto" w:fill="FFFFFF"/>
            <w:tcMar>
              <w:top w:w="60" w:type="dxa"/>
              <w:left w:w="120" w:type="dxa"/>
              <w:bottom w:w="60" w:type="dxa"/>
              <w:right w:w="120" w:type="dxa"/>
            </w:tcMar>
            <w:vAlign w:val="center"/>
          </w:tcPr>
          <w:p w14:paraId="396193A9">
            <w:pPr>
              <w:spacing w:before="60" w:after="60"/>
              <w:jc w:val="left"/>
            </w:pPr>
            <w:r>
              <w:rPr>
                <w:rFonts w:ascii="Arial" w:hAnsi="Arial" w:eastAsia="Arial" w:cs="Arial"/>
                <w:b/>
                <w:bCs/>
                <w:i w:val="0"/>
                <w:iCs w:val="0"/>
                <w:color w:val="1A1A1A"/>
                <w:sz w:val="20"/>
                <w:szCs w:val="20"/>
              </w:rPr>
              <w:t>Signed (DSL: Lordina Owusu)</w:t>
            </w:r>
          </w:p>
        </w:tc>
      </w:tr>
      <w:tr w14:paraId="0190D47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 w:type="dxa"/>
            <w:bottom w:w="0" w:type="dxa"/>
            <w:right w:w="10" w:type="dxa"/>
          </w:tblCellMar>
        </w:tblPrEx>
        <w:tc>
          <w:tcPr>
            <w:tcW w:w="4680" w:type="dxa"/>
            <w:tcBorders>
              <w:top w:val="single" w:color="auto" w:sz="4" w:space="0"/>
              <w:left w:val="single" w:color="auto" w:sz="4" w:space="0"/>
              <w:bottom w:val="single" w:color="auto" w:sz="4" w:space="0"/>
              <w:right w:val="single" w:color="auto" w:sz="4" w:space="0"/>
            </w:tcBorders>
            <w:shd w:val="clear" w:color="auto" w:fill="F2F2F2"/>
            <w:tcMar>
              <w:top w:w="60" w:type="dxa"/>
              <w:left w:w="120" w:type="dxa"/>
              <w:bottom w:w="60" w:type="dxa"/>
              <w:right w:w="120" w:type="dxa"/>
            </w:tcMar>
          </w:tcPr>
          <w:p w14:paraId="49CA7055">
            <w:pPr>
              <w:spacing w:before="80" w:after="80"/>
            </w:pPr>
            <w:r>
              <w:rPr>
                <w:rFonts w:hint="default" w:ascii="Arial" w:hAnsi="Arial" w:eastAsia="Arial" w:cs="Arial"/>
                <w:color w:val="1A1A1A"/>
                <w:sz w:val="22"/>
                <w:szCs w:val="22"/>
                <w:lang w:val="en-US"/>
              </w:rPr>
              <w:drawing>
                <wp:inline distT="0" distB="0" distL="114300" distR="114300">
                  <wp:extent cx="811530" cy="271780"/>
                  <wp:effectExtent l="0" t="0" r="11430" b="2540"/>
                  <wp:docPr id="6" name="Picture 6" descr="Lilian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ilian Signature"/>
                          <pic:cNvPicPr>
                            <a:picLocks noChangeAspect="1"/>
                          </pic:cNvPicPr>
                        </pic:nvPicPr>
                        <pic:blipFill>
                          <a:blip r:embed="rId4"/>
                          <a:stretch>
                            <a:fillRect/>
                          </a:stretch>
                        </pic:blipFill>
                        <pic:spPr>
                          <a:xfrm>
                            <a:off x="0" y="0"/>
                            <a:ext cx="811530" cy="271780"/>
                          </a:xfrm>
                          <a:prstGeom prst="rect">
                            <a:avLst/>
                          </a:prstGeom>
                        </pic:spPr>
                      </pic:pic>
                    </a:graphicData>
                  </a:graphic>
                </wp:inline>
              </w:drawing>
            </w:r>
          </w:p>
        </w:tc>
        <w:tc>
          <w:tcPr>
            <w:tcW w:w="4680" w:type="dxa"/>
            <w:tcBorders>
              <w:top w:val="single" w:color="auto" w:sz="4" w:space="0"/>
              <w:left w:val="single" w:color="auto" w:sz="4" w:space="0"/>
              <w:bottom w:val="single" w:color="auto" w:sz="4" w:space="0"/>
              <w:right w:val="single" w:color="auto" w:sz="4" w:space="0"/>
            </w:tcBorders>
            <w:tcMar>
              <w:top w:w="60" w:type="dxa"/>
              <w:left w:w="120" w:type="dxa"/>
              <w:bottom w:w="60" w:type="dxa"/>
              <w:right w:w="120" w:type="dxa"/>
            </w:tcMar>
          </w:tcPr>
          <w:p w14:paraId="580AA54A">
            <w:pPr>
              <w:spacing w:before="80" w:after="80"/>
            </w:pPr>
            <w:r>
              <w:rPr>
                <w:rFonts w:hint="default" w:ascii="Arial" w:hAnsi="Arial" w:eastAsia="Arial" w:cs="Arial"/>
                <w:color w:val="1A1A1A"/>
                <w:sz w:val="22"/>
                <w:szCs w:val="22"/>
                <w:lang w:val="en-US"/>
              </w:rPr>
              <w:drawing>
                <wp:inline distT="0" distB="0" distL="114300" distR="114300">
                  <wp:extent cx="692150" cy="254000"/>
                  <wp:effectExtent l="0" t="0" r="8890" b="5080"/>
                  <wp:docPr id="2" name="Picture 2" descr="Screenshot 2025-12-05 164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creenshot 2025-12-05 164606"/>
                          <pic:cNvPicPr>
                            <a:picLocks noChangeAspect="1"/>
                          </pic:cNvPicPr>
                        </pic:nvPicPr>
                        <pic:blipFill>
                          <a:blip r:embed="rId5"/>
                          <a:stretch>
                            <a:fillRect/>
                          </a:stretch>
                        </pic:blipFill>
                        <pic:spPr>
                          <a:xfrm>
                            <a:off x="0" y="0"/>
                            <a:ext cx="692150" cy="254000"/>
                          </a:xfrm>
                          <a:prstGeom prst="rect">
                            <a:avLst/>
                          </a:prstGeom>
                        </pic:spPr>
                      </pic:pic>
                    </a:graphicData>
                  </a:graphic>
                </wp:inline>
              </w:drawing>
            </w:r>
          </w:p>
        </w:tc>
      </w:tr>
      <w:tr w14:paraId="53D3000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 w:type="dxa"/>
            <w:bottom w:w="0" w:type="dxa"/>
            <w:right w:w="10" w:type="dxa"/>
          </w:tblCellMar>
        </w:tblPrEx>
        <w:tc>
          <w:tcPr>
            <w:tcW w:w="4680" w:type="dxa"/>
            <w:tcBorders>
              <w:top w:val="single" w:color="auto" w:sz="4" w:space="0"/>
              <w:left w:val="single" w:color="auto" w:sz="4" w:space="0"/>
              <w:bottom w:val="single" w:color="auto" w:sz="4" w:space="0"/>
              <w:right w:val="single" w:color="auto" w:sz="4" w:space="0"/>
            </w:tcBorders>
            <w:shd w:val="clear" w:color="auto" w:fill="F2F2F2"/>
            <w:tcMar>
              <w:top w:w="60" w:type="dxa"/>
              <w:left w:w="120" w:type="dxa"/>
              <w:bottom w:w="60" w:type="dxa"/>
              <w:right w:w="120" w:type="dxa"/>
            </w:tcMar>
            <w:vAlign w:val="center"/>
          </w:tcPr>
          <w:p w14:paraId="31467880">
            <w:pPr>
              <w:spacing w:before="60" w:after="60"/>
              <w:jc w:val="left"/>
              <w:rPr>
                <w:rFonts w:hint="default"/>
                <w:lang w:val="en-US"/>
              </w:rPr>
            </w:pPr>
            <w:r>
              <w:rPr>
                <w:rFonts w:ascii="Arial" w:hAnsi="Arial" w:eastAsia="Arial" w:cs="Arial"/>
                <w:b w:val="0"/>
                <w:bCs w:val="0"/>
                <w:i w:val="0"/>
                <w:iCs w:val="0"/>
                <w:color w:val="1A1A1A"/>
                <w:sz w:val="20"/>
                <w:szCs w:val="20"/>
              </w:rPr>
              <w:t xml:space="preserve">Date: </w:t>
            </w:r>
            <w:r>
              <w:rPr>
                <w:rFonts w:hint="default" w:ascii="Arial" w:hAnsi="Arial" w:eastAsia="Arial" w:cs="Arial"/>
                <w:b w:val="0"/>
                <w:bCs w:val="0"/>
                <w:i w:val="0"/>
                <w:iCs w:val="0"/>
                <w:color w:val="1A1A1A"/>
                <w:sz w:val="20"/>
                <w:szCs w:val="20"/>
                <w:lang w:val="en-US"/>
              </w:rPr>
              <w:t>8</w:t>
            </w:r>
            <w:r>
              <w:rPr>
                <w:rFonts w:hint="default" w:ascii="Arial" w:hAnsi="Arial" w:eastAsia="Arial" w:cs="Arial"/>
                <w:b w:val="0"/>
                <w:bCs w:val="0"/>
                <w:i w:val="0"/>
                <w:iCs w:val="0"/>
                <w:color w:val="1A1A1A"/>
                <w:sz w:val="20"/>
                <w:szCs w:val="20"/>
                <w:vertAlign w:val="superscript"/>
                <w:lang w:val="en-US"/>
              </w:rPr>
              <w:t>th</w:t>
            </w:r>
            <w:r>
              <w:rPr>
                <w:rFonts w:hint="default" w:ascii="Arial" w:hAnsi="Arial" w:eastAsia="Arial" w:cs="Arial"/>
                <w:b w:val="0"/>
                <w:bCs w:val="0"/>
                <w:i w:val="0"/>
                <w:iCs w:val="0"/>
                <w:color w:val="1A1A1A"/>
                <w:sz w:val="20"/>
                <w:szCs w:val="20"/>
                <w:lang w:val="en-US"/>
              </w:rPr>
              <w:t xml:space="preserve"> September, 2026</w:t>
            </w:r>
          </w:p>
        </w:tc>
        <w:tc>
          <w:tcPr>
            <w:tcW w:w="4680" w:type="dxa"/>
            <w:tcBorders>
              <w:top w:val="single" w:color="auto" w:sz="4" w:space="0"/>
              <w:left w:val="single" w:color="auto" w:sz="4" w:space="0"/>
              <w:bottom w:val="single" w:color="auto" w:sz="4" w:space="0"/>
              <w:right w:val="single" w:color="auto" w:sz="4" w:space="0"/>
            </w:tcBorders>
            <w:shd w:val="clear" w:color="auto" w:fill="FFFFFF"/>
            <w:tcMar>
              <w:top w:w="60" w:type="dxa"/>
              <w:left w:w="120" w:type="dxa"/>
              <w:bottom w:w="60" w:type="dxa"/>
              <w:right w:w="120" w:type="dxa"/>
            </w:tcMar>
            <w:vAlign w:val="center"/>
          </w:tcPr>
          <w:p w14:paraId="36948EC8">
            <w:pPr>
              <w:spacing w:before="60" w:after="60"/>
              <w:jc w:val="left"/>
            </w:pPr>
            <w:r>
              <w:rPr>
                <w:rFonts w:ascii="Arial" w:hAnsi="Arial" w:eastAsia="Arial" w:cs="Arial"/>
                <w:b w:val="0"/>
                <w:bCs w:val="0"/>
                <w:i w:val="0"/>
                <w:iCs w:val="0"/>
                <w:color w:val="1A1A1A"/>
                <w:sz w:val="20"/>
                <w:szCs w:val="20"/>
              </w:rPr>
              <w:t xml:space="preserve">Date:  </w:t>
            </w:r>
            <w:r>
              <w:rPr>
                <w:rFonts w:hint="default" w:ascii="Arial" w:hAnsi="Arial" w:eastAsia="Arial" w:cs="Arial"/>
                <w:b w:val="0"/>
                <w:bCs w:val="0"/>
                <w:i w:val="0"/>
                <w:iCs w:val="0"/>
                <w:color w:val="1A1A1A"/>
                <w:sz w:val="20"/>
                <w:szCs w:val="20"/>
                <w:lang w:val="en-US"/>
              </w:rPr>
              <w:t>8</w:t>
            </w:r>
            <w:r>
              <w:rPr>
                <w:rFonts w:hint="default" w:ascii="Arial" w:hAnsi="Arial" w:eastAsia="Arial" w:cs="Arial"/>
                <w:b w:val="0"/>
                <w:bCs w:val="0"/>
                <w:i w:val="0"/>
                <w:iCs w:val="0"/>
                <w:color w:val="1A1A1A"/>
                <w:sz w:val="20"/>
                <w:szCs w:val="20"/>
                <w:vertAlign w:val="superscript"/>
                <w:lang w:val="en-US"/>
              </w:rPr>
              <w:t>th</w:t>
            </w:r>
            <w:r>
              <w:rPr>
                <w:rFonts w:hint="default" w:ascii="Arial" w:hAnsi="Arial" w:eastAsia="Arial" w:cs="Arial"/>
                <w:b w:val="0"/>
                <w:bCs w:val="0"/>
                <w:i w:val="0"/>
                <w:iCs w:val="0"/>
                <w:color w:val="1A1A1A"/>
                <w:sz w:val="20"/>
                <w:szCs w:val="20"/>
                <w:lang w:val="en-US"/>
              </w:rPr>
              <w:t xml:space="preserve"> September, 2026</w:t>
            </w:r>
          </w:p>
        </w:tc>
      </w:tr>
    </w:tbl>
    <w:p w14:paraId="61CDF53B">
      <w:pPr>
        <w:spacing w:before="60" w:after="0"/>
      </w:pPr>
    </w:p>
    <w:tbl>
      <w:tblPr>
        <w:tblStyle w:val="9"/>
        <w:tblW w:w="9360" w:type="dxa"/>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 w:type="dxa"/>
          <w:bottom w:w="0" w:type="dxa"/>
          <w:right w:w="10" w:type="dxa"/>
        </w:tblCellMar>
      </w:tblPr>
      <w:tblGrid>
        <w:gridCol w:w="4680"/>
        <w:gridCol w:w="4680"/>
      </w:tblGrid>
      <w:tr w14:paraId="2D43581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 w:type="dxa"/>
            <w:bottom w:w="0" w:type="dxa"/>
            <w:right w:w="10" w:type="dxa"/>
          </w:tblCellMar>
        </w:tblPrEx>
        <w:tc>
          <w:tcPr>
            <w:tcW w:w="4680" w:type="dxa"/>
            <w:tcBorders>
              <w:top w:val="single" w:color="auto" w:sz="4" w:space="0"/>
              <w:left w:val="single" w:color="auto" w:sz="4" w:space="0"/>
              <w:bottom w:val="single" w:color="auto" w:sz="4" w:space="0"/>
              <w:right w:val="single" w:color="auto" w:sz="4" w:space="0"/>
            </w:tcBorders>
            <w:shd w:val="clear" w:color="auto" w:fill="F2F2F2"/>
            <w:tcMar>
              <w:top w:w="60" w:type="dxa"/>
              <w:left w:w="120" w:type="dxa"/>
              <w:bottom w:w="60" w:type="dxa"/>
              <w:right w:w="120" w:type="dxa"/>
            </w:tcMar>
            <w:vAlign w:val="center"/>
          </w:tcPr>
          <w:p w14:paraId="740EB178">
            <w:pPr>
              <w:spacing w:before="60" w:after="60"/>
              <w:jc w:val="left"/>
            </w:pPr>
            <w:r>
              <w:rPr>
                <w:rFonts w:ascii="Arial" w:hAnsi="Arial" w:eastAsia="Arial" w:cs="Arial"/>
                <w:b/>
                <w:bCs/>
                <w:i w:val="0"/>
                <w:iCs w:val="0"/>
                <w:color w:val="1A1A1A"/>
                <w:sz w:val="20"/>
                <w:szCs w:val="20"/>
              </w:rPr>
              <w:t>Signed (Board Safeguarding Lead: Gadina Jones)</w:t>
            </w:r>
          </w:p>
        </w:tc>
        <w:tc>
          <w:tcPr>
            <w:tcW w:w="4680" w:type="dxa"/>
            <w:tcBorders>
              <w:top w:val="single" w:color="auto" w:sz="4" w:space="0"/>
              <w:left w:val="single" w:color="auto" w:sz="4" w:space="0"/>
              <w:bottom w:val="single" w:color="auto" w:sz="4" w:space="0"/>
              <w:right w:val="single" w:color="auto" w:sz="4" w:space="0"/>
            </w:tcBorders>
            <w:shd w:val="clear" w:color="auto" w:fill="FFFFFF"/>
            <w:tcMar>
              <w:top w:w="60" w:type="dxa"/>
              <w:left w:w="120" w:type="dxa"/>
              <w:bottom w:w="60" w:type="dxa"/>
              <w:right w:w="120" w:type="dxa"/>
            </w:tcMar>
            <w:vAlign w:val="center"/>
          </w:tcPr>
          <w:p w14:paraId="4776E000">
            <w:pPr>
              <w:spacing w:before="60" w:after="60"/>
              <w:jc w:val="left"/>
            </w:pPr>
            <w:r>
              <w:rPr>
                <w:rFonts w:ascii="Arial" w:hAnsi="Arial" w:eastAsia="Arial" w:cs="Arial"/>
                <w:b/>
                <w:bCs/>
                <w:i w:val="0"/>
                <w:iCs w:val="0"/>
                <w:color w:val="1A1A1A"/>
                <w:sz w:val="20"/>
                <w:szCs w:val="20"/>
              </w:rPr>
              <w:t>Signed (Chair of Board: Cecilia Anane-Adusei)</w:t>
            </w:r>
          </w:p>
        </w:tc>
      </w:tr>
      <w:tr w14:paraId="481D1E6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 w:type="dxa"/>
            <w:bottom w:w="0" w:type="dxa"/>
            <w:right w:w="10" w:type="dxa"/>
          </w:tblCellMar>
        </w:tblPrEx>
        <w:tc>
          <w:tcPr>
            <w:tcW w:w="4680" w:type="dxa"/>
            <w:tcBorders>
              <w:top w:val="single" w:color="auto" w:sz="4" w:space="0"/>
              <w:left w:val="single" w:color="auto" w:sz="4" w:space="0"/>
              <w:bottom w:val="single" w:color="auto" w:sz="4" w:space="0"/>
              <w:right w:val="single" w:color="auto" w:sz="4" w:space="0"/>
            </w:tcBorders>
            <w:shd w:val="clear" w:color="auto" w:fill="F2F2F2"/>
            <w:tcMar>
              <w:top w:w="60" w:type="dxa"/>
              <w:left w:w="120" w:type="dxa"/>
              <w:bottom w:w="60" w:type="dxa"/>
              <w:right w:w="120" w:type="dxa"/>
            </w:tcMar>
          </w:tcPr>
          <w:p w14:paraId="731A77E5">
            <w:pPr>
              <w:spacing w:before="80" w:after="80"/>
            </w:pPr>
            <w:r>
              <w:rPr>
                <w:rFonts w:ascii="Arial" w:hAnsi="Arial" w:eastAsia="Arial" w:cs="Arial"/>
                <w:color w:val="1A1A1A"/>
                <w:sz w:val="22"/>
                <w:szCs w:val="22"/>
              </w:rPr>
              <w:drawing>
                <wp:inline distT="0" distB="0" distL="114300" distR="114300">
                  <wp:extent cx="648335" cy="273685"/>
                  <wp:effectExtent l="0" t="0" r="6985" b="635"/>
                  <wp:docPr id="3" name="Picture 3" descr="Gadina Jones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adina Jones Signature"/>
                          <pic:cNvPicPr>
                            <a:picLocks noChangeAspect="1"/>
                          </pic:cNvPicPr>
                        </pic:nvPicPr>
                        <pic:blipFill>
                          <a:blip r:embed="rId6"/>
                          <a:stretch>
                            <a:fillRect/>
                          </a:stretch>
                        </pic:blipFill>
                        <pic:spPr>
                          <a:xfrm>
                            <a:off x="0" y="0"/>
                            <a:ext cx="648335" cy="273685"/>
                          </a:xfrm>
                          <a:prstGeom prst="rect">
                            <a:avLst/>
                          </a:prstGeom>
                        </pic:spPr>
                      </pic:pic>
                    </a:graphicData>
                  </a:graphic>
                </wp:inline>
              </w:drawing>
            </w:r>
          </w:p>
        </w:tc>
        <w:tc>
          <w:tcPr>
            <w:tcW w:w="4680" w:type="dxa"/>
            <w:tcBorders>
              <w:top w:val="single" w:color="auto" w:sz="4" w:space="0"/>
              <w:left w:val="single" w:color="auto" w:sz="4" w:space="0"/>
              <w:bottom w:val="single" w:color="auto" w:sz="4" w:space="0"/>
              <w:right w:val="single" w:color="auto" w:sz="4" w:space="0"/>
            </w:tcBorders>
            <w:tcMar>
              <w:top w:w="60" w:type="dxa"/>
              <w:left w:w="120" w:type="dxa"/>
              <w:bottom w:w="60" w:type="dxa"/>
              <w:right w:w="120" w:type="dxa"/>
            </w:tcMar>
          </w:tcPr>
          <w:p w14:paraId="3ABE5199">
            <w:pPr>
              <w:spacing w:before="80" w:after="80"/>
            </w:pPr>
            <w:r>
              <w:rPr>
                <w:rFonts w:ascii="Arial" w:hAnsi="Arial" w:eastAsia="Arial" w:cs="Arial"/>
                <w:color w:val="1A1A1A"/>
                <w:sz w:val="22"/>
                <w:szCs w:val="22"/>
              </w:rPr>
              <w:drawing>
                <wp:inline distT="0" distB="0" distL="114300" distR="114300">
                  <wp:extent cx="854710" cy="307340"/>
                  <wp:effectExtent l="0" t="0" r="13970" b="12700"/>
                  <wp:docPr id="4" name="Picture 4" descr="Cecilia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ecilia Signature"/>
                          <pic:cNvPicPr>
                            <a:picLocks noChangeAspect="1"/>
                          </pic:cNvPicPr>
                        </pic:nvPicPr>
                        <pic:blipFill>
                          <a:blip r:embed="rId7"/>
                          <a:stretch>
                            <a:fillRect/>
                          </a:stretch>
                        </pic:blipFill>
                        <pic:spPr>
                          <a:xfrm>
                            <a:off x="0" y="0"/>
                            <a:ext cx="854710" cy="307340"/>
                          </a:xfrm>
                          <a:prstGeom prst="rect">
                            <a:avLst/>
                          </a:prstGeom>
                        </pic:spPr>
                      </pic:pic>
                    </a:graphicData>
                  </a:graphic>
                </wp:inline>
              </w:drawing>
            </w:r>
          </w:p>
        </w:tc>
      </w:tr>
      <w:tr w14:paraId="50D84E19">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 w:type="dxa"/>
            <w:bottom w:w="0" w:type="dxa"/>
            <w:right w:w="10" w:type="dxa"/>
          </w:tblCellMar>
        </w:tblPrEx>
        <w:tc>
          <w:tcPr>
            <w:tcW w:w="4680" w:type="dxa"/>
            <w:tcBorders>
              <w:top w:val="single" w:color="auto" w:sz="4" w:space="0"/>
              <w:left w:val="single" w:color="auto" w:sz="4" w:space="0"/>
              <w:bottom w:val="single" w:color="auto" w:sz="4" w:space="0"/>
              <w:right w:val="single" w:color="auto" w:sz="4" w:space="0"/>
            </w:tcBorders>
            <w:shd w:val="clear" w:color="auto" w:fill="F2F2F2"/>
            <w:tcMar>
              <w:top w:w="60" w:type="dxa"/>
              <w:left w:w="120" w:type="dxa"/>
              <w:bottom w:w="60" w:type="dxa"/>
              <w:right w:w="120" w:type="dxa"/>
            </w:tcMar>
            <w:vAlign w:val="center"/>
          </w:tcPr>
          <w:p w14:paraId="39EA22A0">
            <w:pPr>
              <w:spacing w:before="60" w:after="60"/>
              <w:jc w:val="left"/>
              <w:rPr>
                <w:rFonts w:hint="default"/>
                <w:lang w:val="en-US"/>
              </w:rPr>
            </w:pPr>
            <w:r>
              <w:rPr>
                <w:rFonts w:ascii="Arial" w:hAnsi="Arial" w:eastAsia="Arial" w:cs="Arial"/>
                <w:b w:val="0"/>
                <w:bCs w:val="0"/>
                <w:i w:val="0"/>
                <w:iCs w:val="0"/>
                <w:color w:val="1A1A1A"/>
                <w:sz w:val="20"/>
                <w:szCs w:val="20"/>
              </w:rPr>
              <w:t>Date:</w:t>
            </w:r>
            <w:r>
              <w:rPr>
                <w:rFonts w:hint="default" w:ascii="Arial" w:hAnsi="Arial" w:eastAsia="Arial" w:cs="Arial"/>
                <w:b w:val="0"/>
                <w:bCs w:val="0"/>
                <w:i w:val="0"/>
                <w:iCs w:val="0"/>
                <w:color w:val="1A1A1A"/>
                <w:sz w:val="20"/>
                <w:szCs w:val="20"/>
                <w:lang w:val="en-US"/>
              </w:rPr>
              <w:t xml:space="preserve"> </w:t>
            </w:r>
            <w:r>
              <w:rPr>
                <w:rFonts w:ascii="Arial" w:hAnsi="Arial" w:eastAsia="Arial" w:cs="Arial"/>
                <w:b w:val="0"/>
                <w:bCs w:val="0"/>
                <w:i w:val="0"/>
                <w:iCs w:val="0"/>
                <w:color w:val="1A1A1A"/>
                <w:sz w:val="20"/>
                <w:szCs w:val="20"/>
              </w:rPr>
              <w:t xml:space="preserve"> </w:t>
            </w:r>
            <w:r>
              <w:rPr>
                <w:rFonts w:hint="default" w:ascii="Arial" w:hAnsi="Arial" w:eastAsia="Arial" w:cs="Arial"/>
                <w:b w:val="0"/>
                <w:bCs w:val="0"/>
                <w:i w:val="0"/>
                <w:iCs w:val="0"/>
                <w:color w:val="1A1A1A"/>
                <w:sz w:val="20"/>
                <w:szCs w:val="20"/>
                <w:lang w:val="en-US"/>
              </w:rPr>
              <w:t>8</w:t>
            </w:r>
            <w:r>
              <w:rPr>
                <w:rFonts w:hint="default" w:ascii="Arial" w:hAnsi="Arial" w:eastAsia="Arial" w:cs="Arial"/>
                <w:b w:val="0"/>
                <w:bCs w:val="0"/>
                <w:i w:val="0"/>
                <w:iCs w:val="0"/>
                <w:color w:val="1A1A1A"/>
                <w:sz w:val="20"/>
                <w:szCs w:val="20"/>
                <w:vertAlign w:val="superscript"/>
                <w:lang w:val="en-US"/>
              </w:rPr>
              <w:t>th</w:t>
            </w:r>
            <w:r>
              <w:rPr>
                <w:rFonts w:hint="default" w:ascii="Arial" w:hAnsi="Arial" w:eastAsia="Arial" w:cs="Arial"/>
                <w:b w:val="0"/>
                <w:bCs w:val="0"/>
                <w:i w:val="0"/>
                <w:iCs w:val="0"/>
                <w:color w:val="1A1A1A"/>
                <w:sz w:val="20"/>
                <w:szCs w:val="20"/>
                <w:lang w:val="en-US"/>
              </w:rPr>
              <w:t xml:space="preserve"> September, 2026</w:t>
            </w:r>
          </w:p>
        </w:tc>
        <w:tc>
          <w:tcPr>
            <w:tcW w:w="4680" w:type="dxa"/>
            <w:tcBorders>
              <w:top w:val="single" w:color="auto" w:sz="4" w:space="0"/>
              <w:left w:val="single" w:color="auto" w:sz="4" w:space="0"/>
              <w:bottom w:val="single" w:color="auto" w:sz="4" w:space="0"/>
              <w:right w:val="single" w:color="auto" w:sz="4" w:space="0"/>
            </w:tcBorders>
            <w:shd w:val="clear" w:color="auto" w:fill="FFFFFF"/>
            <w:tcMar>
              <w:top w:w="60" w:type="dxa"/>
              <w:left w:w="120" w:type="dxa"/>
              <w:bottom w:w="60" w:type="dxa"/>
              <w:right w:w="120" w:type="dxa"/>
            </w:tcMar>
            <w:vAlign w:val="center"/>
          </w:tcPr>
          <w:p w14:paraId="5479B9A0">
            <w:pPr>
              <w:spacing w:before="60" w:after="60"/>
              <w:jc w:val="left"/>
            </w:pPr>
            <w:r>
              <w:rPr>
                <w:rFonts w:ascii="Arial" w:hAnsi="Arial" w:eastAsia="Arial" w:cs="Arial"/>
                <w:b w:val="0"/>
                <w:bCs w:val="0"/>
                <w:i w:val="0"/>
                <w:iCs w:val="0"/>
                <w:color w:val="1A1A1A"/>
                <w:sz w:val="20"/>
                <w:szCs w:val="20"/>
              </w:rPr>
              <w:t xml:space="preserve">Date:  </w:t>
            </w:r>
            <w:r>
              <w:rPr>
                <w:rFonts w:hint="default" w:ascii="Arial" w:hAnsi="Arial" w:eastAsia="Arial" w:cs="Arial"/>
                <w:b w:val="0"/>
                <w:bCs w:val="0"/>
                <w:i w:val="0"/>
                <w:iCs w:val="0"/>
                <w:color w:val="1A1A1A"/>
                <w:sz w:val="20"/>
                <w:szCs w:val="20"/>
                <w:lang w:val="en-US"/>
              </w:rPr>
              <w:t>8</w:t>
            </w:r>
            <w:r>
              <w:rPr>
                <w:rFonts w:hint="default" w:ascii="Arial" w:hAnsi="Arial" w:eastAsia="Arial" w:cs="Arial"/>
                <w:b w:val="0"/>
                <w:bCs w:val="0"/>
                <w:i w:val="0"/>
                <w:iCs w:val="0"/>
                <w:color w:val="1A1A1A"/>
                <w:sz w:val="20"/>
                <w:szCs w:val="20"/>
                <w:vertAlign w:val="superscript"/>
                <w:lang w:val="en-US"/>
              </w:rPr>
              <w:t>th</w:t>
            </w:r>
            <w:r>
              <w:rPr>
                <w:rFonts w:hint="default" w:ascii="Arial" w:hAnsi="Arial" w:eastAsia="Arial" w:cs="Arial"/>
                <w:b w:val="0"/>
                <w:bCs w:val="0"/>
                <w:i w:val="0"/>
                <w:iCs w:val="0"/>
                <w:color w:val="1A1A1A"/>
                <w:sz w:val="20"/>
                <w:szCs w:val="20"/>
                <w:lang w:val="en-US"/>
              </w:rPr>
              <w:t xml:space="preserve"> September, 2026</w:t>
            </w:r>
          </w:p>
        </w:tc>
      </w:tr>
    </w:tbl>
    <w:p w14:paraId="486CAC5F">
      <w:pPr>
        <w:spacing w:before="100" w:after="0"/>
      </w:pPr>
    </w:p>
    <w:p w14:paraId="5786E4EF">
      <w:pPr>
        <w:pBdr>
          <w:top w:val="single" w:color="BFBFBF" w:sz="4" w:space="6"/>
        </w:pBdr>
        <w:spacing w:before="120" w:after="40"/>
        <w:jc w:val="center"/>
      </w:pPr>
      <w:r>
        <w:rPr>
          <w:rFonts w:ascii="Arial" w:hAnsi="Arial" w:eastAsia="Arial" w:cs="Arial"/>
          <w:b w:val="0"/>
          <w:bCs w:val="0"/>
          <w:i/>
          <w:iCs/>
          <w:color w:val="666666"/>
          <w:sz w:val="17"/>
          <w:szCs w:val="17"/>
        </w:rPr>
        <w:t xml:space="preserve">The Lord's Hub CIC  |  Company No. 16054485  |  www.tlchub.uk  |  support@thelordshub.com  |  Safeguarding Policy Statement </w:t>
      </w:r>
      <w:r>
        <w:rPr>
          <w:rFonts w:ascii="Arial" w:hAnsi="Arial" w:eastAsia="Arial" w:cs="Arial"/>
          <w:b w:val="0"/>
          <w:bCs w:val="0"/>
          <w:i/>
          <w:iCs/>
          <w:color w:val="666666"/>
          <w:sz w:val="17"/>
          <w:szCs w:val="17"/>
          <w:lang w:val="en-US"/>
        </w:rPr>
        <w:t>-</w:t>
      </w:r>
      <w:r>
        <w:rPr>
          <w:rFonts w:ascii="Arial" w:hAnsi="Arial" w:eastAsia="Arial" w:cs="Arial"/>
          <w:b w:val="0"/>
          <w:bCs w:val="0"/>
          <w:i/>
          <w:iCs/>
          <w:color w:val="666666"/>
          <w:sz w:val="17"/>
          <w:szCs w:val="17"/>
        </w:rPr>
        <w:t xml:space="preserve"> Appendix A</w:t>
      </w:r>
    </w:p>
    <w:sectPr>
      <w:pgSz w:w="11906" w:h="16838"/>
      <w:pgMar w:top="900" w:right="900" w:bottom="900" w:left="90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multilevel"/>
    <w:tmpl w:val="0053208E"/>
    <w:lvl w:ilvl="0" w:tentative="0">
      <w:start w:val="1"/>
      <w:numFmt w:val="bullet"/>
      <w:lvlText w:val="●"/>
      <w:lvlJc w:val="left"/>
      <w:pPr>
        <w:ind w:left="720" w:hanging="360"/>
      </w:pPr>
    </w:lvl>
    <w:lvl w:ilvl="1" w:tentative="0">
      <w:start w:val="1"/>
      <w:numFmt w:val="bullet"/>
      <w:lvlText w:val="○"/>
      <w:lvlJc w:val="left"/>
      <w:pPr>
        <w:ind w:left="1440" w:hanging="360"/>
      </w:pPr>
    </w:lvl>
    <w:lvl w:ilvl="2" w:tentative="0">
      <w:start w:val="1"/>
      <w:numFmt w:val="bullet"/>
      <w:lvlText w:val="■"/>
      <w:lvlJc w:val="left"/>
      <w:pPr>
        <w:ind w:left="2160" w:hanging="360"/>
      </w:pPr>
    </w:lvl>
    <w:lvl w:ilvl="3" w:tentative="0">
      <w:start w:val="1"/>
      <w:numFmt w:val="bullet"/>
      <w:lvlText w:val="●"/>
      <w:lvlJc w:val="left"/>
      <w:pPr>
        <w:ind w:left="2880" w:hanging="360"/>
      </w:pPr>
    </w:lvl>
    <w:lvl w:ilvl="4" w:tentative="0">
      <w:start w:val="1"/>
      <w:numFmt w:val="bullet"/>
      <w:lvlText w:val="○"/>
      <w:lvlJc w:val="left"/>
      <w:pPr>
        <w:ind w:left="3600" w:hanging="360"/>
      </w:pPr>
    </w:lvl>
    <w:lvl w:ilvl="5" w:tentative="0">
      <w:start w:val="1"/>
      <w:numFmt w:val="bullet"/>
      <w:lvlText w:val="■"/>
      <w:lvlJc w:val="left"/>
      <w:pPr>
        <w:ind w:left="4320" w:hanging="360"/>
      </w:pPr>
    </w:lvl>
    <w:lvl w:ilvl="6" w:tentative="0">
      <w:start w:val="1"/>
      <w:numFmt w:val="bullet"/>
      <w:lvlText w:val="●"/>
      <w:lvlJc w:val="left"/>
      <w:pPr>
        <w:ind w:left="5040" w:hanging="360"/>
      </w:pPr>
    </w:lvl>
    <w:lvl w:ilvl="7" w:tentative="0">
      <w:start w:val="1"/>
      <w:numFmt w:val="bullet"/>
      <w:lvlText w:val="●"/>
      <w:lvlJc w:val="left"/>
      <w:pPr>
        <w:ind w:left="5760" w:hanging="360"/>
      </w:pPr>
    </w:lvl>
    <w:lvl w:ilvl="8" w:tentative="0">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displayBackgroundShape w:val="1"/>
  <w:documentProtection w:enforcement="0"/>
  <w:compat>
    <w:compatSetting w:name="compatibilityMode" w:uri="http://schemas.microsoft.com/office/word" w:val="15"/>
  </w:compat>
  <w:rsids>
    <w:rsidRoot w:val="00000000"/>
    <w:rsid w:val="1FE312CB"/>
    <w:rsid w:val="253C645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sz w:val="21"/>
      <w:szCs w:val="22"/>
    </w:rPr>
  </w:style>
  <w:style w:type="paragraph" w:styleId="2">
    <w:name w:val="heading 1"/>
    <w:next w:val="1"/>
    <w:qFormat/>
    <w:uiPriority w:val="0"/>
    <w:rPr>
      <w:color w:val="2E74B5"/>
      <w:sz w:val="32"/>
      <w:szCs w:val="32"/>
    </w:rPr>
  </w:style>
  <w:style w:type="paragraph" w:styleId="3">
    <w:name w:val="heading 2"/>
    <w:next w:val="1"/>
    <w:qFormat/>
    <w:uiPriority w:val="0"/>
    <w:rPr>
      <w:color w:val="2E74B5"/>
      <w:sz w:val="26"/>
      <w:szCs w:val="26"/>
    </w:rPr>
  </w:style>
  <w:style w:type="paragraph" w:styleId="4">
    <w:name w:val="heading 3"/>
    <w:next w:val="1"/>
    <w:qFormat/>
    <w:uiPriority w:val="0"/>
    <w:rPr>
      <w:color w:val="1F4D78"/>
      <w:sz w:val="24"/>
      <w:szCs w:val="24"/>
    </w:rPr>
  </w:style>
  <w:style w:type="paragraph" w:styleId="5">
    <w:name w:val="heading 4"/>
    <w:next w:val="1"/>
    <w:qFormat/>
    <w:uiPriority w:val="0"/>
    <w:rPr>
      <w:i/>
      <w:iCs/>
      <w:color w:val="2E74B5"/>
      <w:sz w:val="21"/>
      <w:szCs w:val="22"/>
    </w:rPr>
  </w:style>
  <w:style w:type="paragraph" w:styleId="6">
    <w:name w:val="heading 5"/>
    <w:next w:val="1"/>
    <w:qFormat/>
    <w:uiPriority w:val="0"/>
    <w:rPr>
      <w:color w:val="2E74B5"/>
      <w:sz w:val="21"/>
      <w:szCs w:val="22"/>
    </w:rPr>
  </w:style>
  <w:style w:type="paragraph" w:styleId="7">
    <w:name w:val="heading 6"/>
    <w:next w:val="1"/>
    <w:qFormat/>
    <w:uiPriority w:val="0"/>
    <w:rPr>
      <w:color w:val="1F4D78"/>
      <w:sz w:val="21"/>
      <w:szCs w:val="22"/>
    </w:rPr>
  </w:style>
  <w:style w:type="character" w:default="1" w:styleId="8">
    <w:name w:val="Default Paragraph Font"/>
    <w:semiHidden/>
    <w:uiPriority w:val="0"/>
  </w:style>
  <w:style w:type="table" w:default="1" w:styleId="9">
    <w:name w:val="Normal Table"/>
    <w:semiHidden/>
    <w:qFormat/>
    <w:uiPriority w:val="0"/>
    <w:tblPr>
      <w:tblCellMar>
        <w:top w:w="0" w:type="dxa"/>
        <w:left w:w="108" w:type="dxa"/>
        <w:bottom w:w="0" w:type="dxa"/>
        <w:right w:w="108" w:type="dxa"/>
      </w:tblCellMar>
    </w:tblPr>
  </w:style>
  <w:style w:type="character" w:styleId="10">
    <w:name w:val="endnote reference"/>
    <w:semiHidden/>
    <w:unhideWhenUsed/>
    <w:qFormat/>
    <w:uiPriority w:val="99"/>
    <w:rPr>
      <w:vertAlign w:val="superscript"/>
    </w:rPr>
  </w:style>
  <w:style w:type="paragraph" w:styleId="11">
    <w:name w:val="endnote text"/>
    <w:link w:val="18"/>
    <w:semiHidden/>
    <w:unhideWhenUsed/>
    <w:qFormat/>
    <w:uiPriority w:val="99"/>
    <w:pPr>
      <w:spacing w:after="0" w:line="240" w:lineRule="auto"/>
    </w:pPr>
    <w:rPr>
      <w:sz w:val="20"/>
      <w:szCs w:val="20"/>
    </w:rPr>
  </w:style>
  <w:style w:type="character" w:styleId="12">
    <w:name w:val="footnote reference"/>
    <w:semiHidden/>
    <w:unhideWhenUsed/>
    <w:qFormat/>
    <w:uiPriority w:val="99"/>
    <w:rPr>
      <w:vertAlign w:val="superscript"/>
    </w:rPr>
  </w:style>
  <w:style w:type="paragraph" w:styleId="13">
    <w:name w:val="footnote text"/>
    <w:link w:val="17"/>
    <w:semiHidden/>
    <w:unhideWhenUsed/>
    <w:uiPriority w:val="99"/>
    <w:pPr>
      <w:spacing w:after="0" w:line="240" w:lineRule="auto"/>
    </w:pPr>
    <w:rPr>
      <w:sz w:val="20"/>
      <w:szCs w:val="20"/>
    </w:rPr>
  </w:style>
  <w:style w:type="character" w:styleId="14">
    <w:name w:val="Hyperlink"/>
    <w:unhideWhenUsed/>
    <w:qFormat/>
    <w:uiPriority w:val="99"/>
    <w:rPr>
      <w:color w:val="0563C1"/>
      <w:u w:val="single"/>
    </w:rPr>
  </w:style>
  <w:style w:type="paragraph" w:styleId="15">
    <w:name w:val="Title"/>
    <w:qFormat/>
    <w:uiPriority w:val="0"/>
    <w:rPr>
      <w:sz w:val="56"/>
      <w:szCs w:val="56"/>
    </w:rPr>
  </w:style>
  <w:style w:type="paragraph" w:styleId="16">
    <w:name w:val="List Paragraph"/>
    <w:qFormat/>
    <w:uiPriority w:val="0"/>
    <w:rPr>
      <w:sz w:val="21"/>
      <w:szCs w:val="22"/>
    </w:rPr>
  </w:style>
  <w:style w:type="character" w:customStyle="1" w:styleId="17">
    <w:name w:val="Footnote Text Char"/>
    <w:link w:val="13"/>
    <w:semiHidden/>
    <w:unhideWhenUsed/>
    <w:qFormat/>
    <w:uiPriority w:val="99"/>
    <w:rPr>
      <w:sz w:val="20"/>
      <w:szCs w:val="20"/>
    </w:rPr>
  </w:style>
  <w:style w:type="character" w:customStyle="1" w:styleId="18">
    <w:name w:val="Endnote Text Char"/>
    <w:link w:val="11"/>
    <w:semiHidden/>
    <w:unhideWhenUsed/>
    <w:qFormat/>
    <w:uiPriority w:val="99"/>
    <w:rPr>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Pages>
  <Words>1202</Words>
  <Characters>6958</Characters>
  <TotalTime>1</TotalTime>
  <ScaleCrop>false</ScaleCrop>
  <LinksUpToDate>false</LinksUpToDate>
  <CharactersWithSpaces>8076</CharactersWithSpaces>
  <Application>WPS Office_12.1.0.28485_F1E327BC-269C-435d-A152-05C5408002CA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2026-10-06T09:37:00Z</dcterms:created>
  <dc:creator>Un-named</dc:creator>
  <cp:lastModifiedBy>Michelin Ahari-Ayisi</cp:lastModifiedBy>
  <dcterms:modified xsi:type="dcterms:W3CDTF">2026-10-06T09:57:47Z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eyJoZGlkIjoiNTQxZDc3Y2ExYWQyOTUwOGZhYzM4MTU1Nzk0YWZkMDAiLCJ1c2VySWQiOiIxNjA5ODIyNDgzMDM3MyJ9</vt:lpwstr>
  </property>
  <property fmtid="{D5CDD505-2E9C-101B-9397-08002B2CF9AE}" pid="3" name="KSOProductBuildVer">
    <vt:lpwstr>1033-12.1.0.28485</vt:lpwstr>
  </property>
  <property fmtid="{D5CDD505-2E9C-101B-9397-08002B2CF9AE}" pid="4" name="ICV">
    <vt:lpwstr>B285071F0C9343C7AAA6EBFE45A8958C_13</vt:lpwstr>
  </property>
</Properties>
</file>